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2"/>
        <w:spacing w:before="0"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-75" y="0"/>
                    <wp:lineTo x="-75" y="20826"/>
                    <wp:lineTo x="20893" y="20826"/>
                    <wp:lineTo x="20893" y="0"/>
                    <wp:lineTo x="-75" y="0"/>
                  </wp:wrapPolygon>
                </wp:wrapTight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;o:allowoverlap:true;o:allowincell:false;mso-position-horizontal-relative:margin;mso-position-horizontal:center;mso-position-vertical-relative:text;margin-top:0.0pt;mso-position-vertical:absolute;width:51.0pt;height:63.6pt;mso-wrap-distance-left:9.0pt;mso-wrap-distance-top:0.0pt;mso-wrap-distance-right:9.0pt;mso-wrap-distance-bottom:0.0pt;" wrapcoords="-346 0 -346 96417 96727 96417 96727 0 -346 0" stroked="false">
                <v:path textboxrect="0,0,0,0"/>
                <w10:wrap type="tight"/>
                <v:imagedata r:id="rId14" o:title=""/>
              </v:shape>
            </w:pict>
          </mc:Fallback>
        </mc:AlternateContent>
      </w:r>
      <w:r>
        <w:rPr>
          <w:rFonts w:ascii="Times New Roman" w:hAnsi="Times New Roman"/>
          <w:sz w:val="28"/>
        </w:rPr>
      </w:r>
      <w:r/>
    </w:p>
    <w:p>
      <w:pPr>
        <w:pStyle w:val="702"/>
        <w:jc w:val="center"/>
        <w:spacing w:before="0" w:after="0" w:line="36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  <w:r>
        <w:rPr>
          <w:rFonts w:ascii="Times New Roman" w:hAnsi="Times New Roman"/>
          <w:sz w:val="32"/>
        </w:rPr>
      </w:r>
      <w:r/>
    </w:p>
    <w:p>
      <w:pPr>
        <w:pStyle w:val="702"/>
        <w:jc w:val="center"/>
        <w:spacing w:before="0"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/>
    </w:p>
    <w:p>
      <w:pPr>
        <w:pStyle w:val="702"/>
        <w:spacing w:before="0"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/>
    </w:p>
    <w:p>
      <w:pPr>
        <w:pStyle w:val="702"/>
        <w:jc w:val="center"/>
        <w:spacing w:before="0"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 О С Т А Н О В Л Е Н И Е</w:t>
      </w:r>
      <w:r>
        <w:rPr>
          <w:rFonts w:ascii="Times New Roman" w:hAnsi="Times New Roman"/>
          <w:b/>
          <w:sz w:val="32"/>
        </w:rPr>
      </w:r>
      <w:r/>
    </w:p>
    <w:p>
      <w:pPr>
        <w:pStyle w:val="702"/>
        <w:jc w:val="center"/>
        <w:spacing w:before="0"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  <w:r/>
    </w:p>
    <w:p>
      <w:pPr>
        <w:pStyle w:val="702"/>
        <w:jc w:val="center"/>
        <w:spacing w:before="0"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ПРАВИТЕЛЬСТВА</w:t>
      </w:r>
      <w:r>
        <w:rPr>
          <w:rFonts w:ascii="Times New Roman" w:hAnsi="Times New Roman"/>
          <w:b/>
          <w:sz w:val="28"/>
        </w:rPr>
      </w:r>
      <w:r/>
    </w:p>
    <w:p>
      <w:pPr>
        <w:pStyle w:val="702"/>
        <w:jc w:val="center"/>
        <w:spacing w:before="0"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КАМЧАТСКОГО КРАЯ</w:t>
      </w:r>
      <w:r>
        <w:rPr>
          <w:rFonts w:ascii="Times New Roman" w:hAnsi="Times New Roman"/>
          <w:b/>
          <w:sz w:val="28"/>
        </w:rPr>
      </w:r>
      <w:r/>
    </w:p>
    <w:p>
      <w:pPr>
        <w:pStyle w:val="702"/>
        <w:ind w:firstLine="709"/>
        <w:jc w:val="center"/>
        <w:spacing w:before="0"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/>
    </w:p>
    <w:tbl>
      <w:tblPr>
        <w:tblW w:w="425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253"/>
      </w:tblGrid>
      <w:tr>
        <w:trPr>
          <w:trHeight w:val="234"/>
        </w:trPr>
        <w:tc>
          <w:tcPr>
            <w:tcW w:w="4253" w:type="dxa"/>
            <w:textDirection w:val="lrTb"/>
            <w:noWrap w:val="false"/>
          </w:tcPr>
          <w:p>
            <w:pPr>
              <w:pStyle w:val="702"/>
              <w:ind w:left="142" w:hanging="142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/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 xml:space="preserve"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 xml:space="preserve">]</w:t>
            </w:r>
            <w:bookmarkEnd w:id="0"/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rPr>
          <w:trHeight w:val="247"/>
        </w:trPr>
        <w:tc>
          <w:tcPr>
            <w:tcW w:w="4253" w:type="dxa"/>
            <w:textDirection w:val="lrTb"/>
            <w:noWrap w:val="false"/>
          </w:tcPr>
          <w:p>
            <w:pPr>
              <w:pStyle w:val="702"/>
              <w:jc w:val="center"/>
              <w:spacing w:before="0"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г. Петропавловск-Камчатский</w:t>
            </w:r>
            <w:r>
              <w:rPr>
                <w:rFonts w:ascii="Times New Roman" w:hAnsi="Times New Roman"/>
                <w:u w:val="single"/>
              </w:rPr>
            </w:r>
            <w:r/>
          </w:p>
        </w:tc>
      </w:tr>
      <w:tr>
        <w:trPr>
          <w:trHeight w:val="80"/>
        </w:trPr>
        <w:tc>
          <w:tcPr>
            <w:tcW w:w="4253" w:type="dxa"/>
            <w:textDirection w:val="lrTb"/>
            <w:noWrap w:val="false"/>
          </w:tcPr>
          <w:p>
            <w:pPr>
              <w:pStyle w:val="702"/>
              <w:jc w:val="both"/>
              <w:spacing w:before="0"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/>
          </w:p>
        </w:tc>
      </w:tr>
    </w:tbl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/>
    </w:p>
    <w:p>
      <w:pPr>
        <w:pStyle w:val="702"/>
        <w:jc w:val="center"/>
        <w:spacing w:before="0" w:after="0" w:line="240" w:lineRule="auto"/>
        <w:suppressLineNumbers w:val="0"/>
      </w:pPr>
      <w:r>
        <w:rPr>
          <w:rFonts w:ascii="Times New Roman" w:hAnsi="Times New Roman"/>
          <w:b/>
          <w:sz w:val="28"/>
        </w:rPr>
        <w:t xml:space="preserve">Об утверждении методики распределения иных межбюджетных трансфертов из краевого бюджета, источником финансов</w:t>
      </w:r>
      <w:r>
        <w:rPr>
          <w:rFonts w:ascii="Times New Roman" w:hAnsi="Times New Roman"/>
          <w:b/>
          <w:sz w:val="28"/>
        </w:rPr>
        <w:t xml:space="preserve">ого обеспечения которых являются бюджетные ассигнования резервного фонда Правительства Камчатского края, бюджетам муниципальных образований в Камчатском крае на финансовое обеспечение непредвиденных расходов, связанных с проведением мероприятий, направленн</w:t>
      </w:r>
      <w:r>
        <w:rPr>
          <w:rFonts w:ascii="Times New Roman" w:hAnsi="Times New Roman"/>
          <w:b/>
          <w:sz w:val="28"/>
          <w:highlight w:val="white"/>
        </w:rPr>
        <w:t xml:space="preserve">ых на предотвращение </w:t>
      </w:r>
      <w:r>
        <w:rPr>
          <w:rFonts w:ascii="Times New Roman" w:hAnsi="Times New Roman"/>
          <w:b/>
          <w:sz w:val="28"/>
        </w:rPr>
        <w:t xml:space="preserve">или ликвидацию последствий стихийных бедствий и (или) других чрезвычайных ситуаций, и правил их предоставления</w:t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</w:r>
      <w:r>
        <w:rPr>
          <w:rFonts w:ascii="Times New Roman" w:hAnsi="Times New Roman"/>
          <w:sz w:val="14"/>
          <w:szCs w:val="14"/>
        </w:rPr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</w:r>
      <w:r>
        <w:rPr>
          <w:rFonts w:ascii="Times New Roman" w:hAnsi="Times New Roman"/>
          <w:sz w:val="14"/>
          <w:szCs w:val="14"/>
        </w:rPr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sz w:val="28"/>
          <w:shd w:val="clear" w:color="auto" w:fill="auto"/>
        </w:rPr>
        <w:t xml:space="preserve">со статьей 139</w:t>
      </w:r>
      <w:r>
        <w:rPr>
          <w:rFonts w:ascii="Times New Roman" w:hAnsi="Times New Roman"/>
          <w:sz w:val="28"/>
          <w:shd w:val="clear" w:color="auto" w:fill="auto"/>
          <w:vertAlign w:val="superscript"/>
        </w:rPr>
        <w:t xml:space="preserve">1</w:t>
      </w:r>
      <w:r>
        <w:rPr>
          <w:rFonts w:ascii="Times New Roman" w:hAnsi="Times New Roman"/>
          <w:sz w:val="28"/>
          <w:shd w:val="clear" w:color="auto" w:fill="auto"/>
        </w:rPr>
        <w:t xml:space="preserve"> Бюджетного кодекса Российской Федерации, статьей 6</w:t>
      </w:r>
      <w:r>
        <w:rPr>
          <w:rFonts w:ascii="Times New Roman" w:hAnsi="Times New Roman"/>
          <w:sz w:val="28"/>
          <w:shd w:val="clear" w:color="auto" w:fill="auto"/>
          <w:vertAlign w:val="superscript"/>
        </w:rPr>
        <w:t xml:space="preserve">2</w:t>
      </w:r>
      <w:r>
        <w:rPr>
          <w:rFonts w:ascii="Times New Roman" w:hAnsi="Times New Roman"/>
          <w:sz w:val="28"/>
          <w:shd w:val="clear" w:color="auto" w:fill="auto"/>
        </w:rPr>
        <w:t xml:space="preserve"> Закон</w:t>
      </w:r>
      <w:r>
        <w:rPr>
          <w:rFonts w:ascii="Times New Roman" w:hAnsi="Times New Roman"/>
          <w:sz w:val="28"/>
        </w:rPr>
        <w:t xml:space="preserve">а Камчатского края </w:t>
        <w:br/>
        <w:t xml:space="preserve">от 11.09.2008 № 110 «О</w:t>
      </w:r>
      <w:r>
        <w:rPr>
          <w:rFonts w:ascii="Times New Roman" w:hAnsi="Times New Roman"/>
          <w:sz w:val="28"/>
        </w:rPr>
        <w:t xml:space="preserve"> предоставлении отдельных межбюджетных трансфертов в Камчатском крае», частью 5 постановления Правительства Камчатского края от 28.11.2022 № 607-П «Об утверждении Порядка использования бюджетных ассигнований резервного фонда Правительства Камчатского края»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20"/>
          <w:szCs w:val="20"/>
        </w:rPr>
        <w:suppressLineNumbers w:val="0"/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/>
    </w:p>
    <w:p>
      <w:pPr>
        <w:pStyle w:val="702"/>
        <w:ind w:firstLine="709"/>
        <w:jc w:val="both"/>
        <w:spacing w:before="0" w:after="0" w:line="240" w:lineRule="auto"/>
        <w:suppressLineNumbers w:val="0"/>
      </w:pPr>
      <w:r>
        <w:rPr>
          <w:rFonts w:ascii="Times New Roman" w:hAnsi="Times New Roman"/>
          <w:sz w:val="28"/>
        </w:rPr>
        <w:t xml:space="preserve">ПРАВИТЕЛЬСТВО ПОСТАНОВЛЯЕТ:</w:t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20"/>
          <w:szCs w:val="20"/>
        </w:rPr>
        <w:suppressLineNumbers w:val="0"/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/>
    </w:p>
    <w:p>
      <w:pPr>
        <w:pStyle w:val="702"/>
        <w:ind w:firstLine="709"/>
        <w:jc w:val="both"/>
        <w:spacing w:before="0" w:after="0" w:line="240" w:lineRule="auto"/>
        <w:suppressLineNumbers w:val="0"/>
      </w:pPr>
      <w:r>
        <w:rPr>
          <w:rFonts w:ascii="Times New Roman" w:hAnsi="Times New Roman"/>
          <w:sz w:val="28"/>
          <w:szCs w:val="28"/>
        </w:rPr>
        <w:t xml:space="preserve">1. Утвердить методику распределения иных межбюджетных трансфертов из краевого бюджета, источн</w:t>
      </w:r>
      <w:r>
        <w:rPr>
          <w:rFonts w:ascii="Times New Roman" w:hAnsi="Times New Roman"/>
          <w:sz w:val="28"/>
          <w:szCs w:val="28"/>
        </w:rPr>
        <w:t xml:space="preserve">иком финансового обеспечения которых являются бюджетные ассигнования резервного фонда Правительства Камчатского края, бюджетам муниципальных образований в Камчатском крае на финансовое обеспечение непредвиденных расходов, связанных с проведением мероприяти</w:t>
      </w:r>
      <w:r>
        <w:rPr>
          <w:rFonts w:ascii="Times New Roman" w:hAnsi="Times New Roman"/>
          <w:sz w:val="28"/>
          <w:szCs w:val="28"/>
          <w:highlight w:val="white"/>
        </w:rPr>
        <w:t xml:space="preserve">й, направленных на предотвращение или ликвидацию последствий </w:t>
      </w:r>
      <w:r>
        <w:rPr>
          <w:rFonts w:ascii="Times New Roman" w:hAnsi="Times New Roman"/>
          <w:sz w:val="28"/>
          <w:szCs w:val="28"/>
        </w:rPr>
        <w:t xml:space="preserve">стихийных бедствий и (или) других чрезвычайных ситуаций, и правила их предоставления согласно приложению к настоящему постановлению.</w:t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  <w:t xml:space="preserve">2. Настоящее постановление вступает в силу после дня его официального опубликования.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16"/>
          <w:szCs w:val="16"/>
        </w:rPr>
        <w:suppressLineNumbers w:val="0"/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/>
    </w:p>
    <w:p>
      <w:pPr>
        <w:pStyle w:val="702"/>
        <w:ind w:firstLine="709"/>
        <w:jc w:val="both"/>
        <w:spacing w:before="0"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/>
    </w:p>
    <w:tbl>
      <w:tblPr>
        <w:tblW w:w="9673" w:type="dxa"/>
        <w:tblInd w:w="-3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551"/>
      </w:tblGrid>
      <w:tr>
        <w:trPr>
          <w:trHeight w:val="1082"/>
        </w:trPr>
        <w:tc>
          <w:tcPr>
            <w:shd w:val="clear" w:color="auto" w:fill="auto"/>
            <w:tcW w:w="3578" w:type="dxa"/>
            <w:textDirection w:val="lrTb"/>
            <w:noWrap w:val="false"/>
          </w:tcPr>
          <w:p>
            <w:pPr>
              <w:pStyle w:val="702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Председатель</w:t>
            </w:r>
            <w:r>
              <w:rPr>
                <w:rFonts w:ascii="Times New Roman" w:hAnsi="Times New Roman"/>
                <w:color w:val="000000" w:themeColor="text1"/>
                <w:sz w:val="28"/>
              </w:rPr>
            </w:r>
            <w:r/>
          </w:p>
          <w:p>
            <w:pPr>
              <w:pStyle w:val="702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Правительства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</w:r>
            <w:r/>
          </w:p>
          <w:p>
            <w:pPr>
              <w:pStyle w:val="702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/>
            <w:bookmarkStart w:id="1" w:name="_GoBack"/>
            <w:r/>
            <w:bookmarkEnd w:id="1"/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Камчатского края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pStyle w:val="702"/>
              <w:ind w:left="3" w:hanging="3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  <w:p>
            <w:pPr>
              <w:pStyle w:val="702"/>
              <w:ind w:left="3" w:hanging="3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  <w:p>
            <w:pPr>
              <w:pStyle w:val="702"/>
              <w:ind w:left="-113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/>
            <w:bookmarkStart w:id="2" w:name="SIGNERSTAMP1"/>
            <w:r>
              <w:rPr>
                <w:rFonts w:ascii="Times New Roman" w:hAnsi="Times New Roman"/>
                <w:color w:val="ffffff" w:themeColor="background1"/>
                <w:sz w:val="24"/>
              </w:rPr>
              <w:t xml:space="preserve">[горизонтальный штамп подписи 1]</w:t>
            </w:r>
            <w:bookmarkEnd w:id="2"/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702"/>
              <w:ind w:right="135"/>
              <w:jc w:val="right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</w:rPr>
            </w:r>
            <w:r/>
          </w:p>
          <w:p>
            <w:pPr>
              <w:pStyle w:val="702"/>
              <w:jc w:val="right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</w:rPr>
            </w:r>
            <w:r/>
          </w:p>
          <w:p>
            <w:pPr>
              <w:pStyle w:val="702"/>
              <w:jc w:val="right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Ю.С. Морозова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702"/>
        <w:spacing w:before="0" w:after="0" w:line="240" w:lineRule="auto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sz w:val="2"/>
          <w:szCs w:val="2"/>
        </w:rPr>
        <w:br w:type="page" w:clear="all"/>
      </w:r>
      <w:r>
        <w:rPr>
          <w:rFonts w:ascii="Times New Roman" w:hAnsi="Times New Roman"/>
          <w:sz w:val="2"/>
          <w:szCs w:val="2"/>
        </w:rPr>
      </w:r>
      <w:r/>
    </w:p>
    <w:tbl>
      <w:tblPr>
        <w:tblW w:w="963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7"/>
        <w:gridCol w:w="478"/>
        <w:gridCol w:w="484"/>
        <w:gridCol w:w="3661"/>
        <w:gridCol w:w="480"/>
        <w:gridCol w:w="1876"/>
        <w:gridCol w:w="486"/>
        <w:gridCol w:w="1695"/>
      </w:tblGrid>
      <w:tr>
        <w:trPr/>
        <w:tc>
          <w:tcPr>
            <w:tcW w:w="477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pageBreakBefore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478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484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3661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gridSpan w:val="4"/>
            <w:tcW w:w="4537" w:type="dxa"/>
            <w:textDirection w:val="lrTb"/>
            <w:noWrap w:val="false"/>
          </w:tcPr>
          <w:p>
            <w:pPr>
              <w:pStyle w:val="702"/>
              <w:ind w:left="8079" w:hanging="8079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0"/>
                <w:lang w:val="ru-RU" w:eastAsia="ru-RU" w:bidi="ar-SA"/>
              </w:rPr>
              <w:t xml:space="preserve">Приложение к постановлению</w:t>
            </w:r>
            <w:r>
              <w:rPr>
                <w:rFonts w:ascii="Times New Roman" w:hAnsi="Times New Roman"/>
                <w:sz w:val="28"/>
              </w:rPr>
            </w:r>
            <w:r/>
          </w:p>
        </w:tc>
      </w:tr>
      <w:tr>
        <w:trPr/>
        <w:tc>
          <w:tcPr>
            <w:tcW w:w="477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478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484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3661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gridSpan w:val="4"/>
            <w:tcW w:w="4537" w:type="dxa"/>
            <w:textDirection w:val="lrTb"/>
            <w:noWrap w:val="false"/>
          </w:tcPr>
          <w:p>
            <w:pPr>
              <w:pStyle w:val="702"/>
              <w:ind w:left="8079" w:hanging="8079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0"/>
                <w:lang w:val="ru-RU" w:eastAsia="ru-RU" w:bidi="ar-SA"/>
              </w:rPr>
              <w:t xml:space="preserve">Правительства Камчатского края</w:t>
            </w:r>
            <w:r>
              <w:rPr>
                <w:rFonts w:ascii="Times New Roman" w:hAnsi="Times New Roman"/>
                <w:sz w:val="28"/>
              </w:rPr>
            </w:r>
            <w:r/>
          </w:p>
        </w:tc>
      </w:tr>
      <w:tr>
        <w:trPr/>
        <w:tc>
          <w:tcPr>
            <w:tcW w:w="477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60" w:line="240" w:lineRule="auto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478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60" w:line="240" w:lineRule="auto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484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60" w:line="240" w:lineRule="auto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3661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60" w:line="240" w:lineRule="auto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480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60" w:line="240" w:lineRule="auto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0"/>
                <w:lang w:val="ru-RU" w:eastAsia="ru-RU" w:bidi="ar-SA"/>
              </w:rPr>
              <w:t xml:space="preserve">от</w:t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1876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60" w:line="240" w:lineRule="auto"/>
              <w:widowControl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8"/>
                <w:szCs w:val="20"/>
                <w:lang w:val="ru-RU" w:eastAsia="ru-RU" w:bidi="ar-SA"/>
              </w:rPr>
              <w:t xml:space="preserve">[R</w:t>
            </w:r>
            <w:r>
              <w:rPr>
                <w:rFonts w:ascii="Times New Roman" w:hAnsi="Times New Roman" w:eastAsia="Times New Roman" w:cs="Times New Roman"/>
                <w:color w:val="ffffff" w:themeColor="background1"/>
                <w:sz w:val="16"/>
                <w:szCs w:val="20"/>
                <w:lang w:val="ru-RU" w:eastAsia="ru-RU" w:bidi="ar-SA"/>
              </w:rPr>
              <w:t xml:space="preserve">EGDATESTAMP]</w:t>
            </w:r>
            <w:r>
              <w:rPr>
                <w:rFonts w:ascii="Times New Roman" w:hAnsi="Times New Roman"/>
                <w:color w:val="ffffff" w:themeColor="background1"/>
                <w:sz w:val="28"/>
              </w:rPr>
            </w:r>
            <w:r/>
          </w:p>
        </w:tc>
        <w:tc>
          <w:tcPr>
            <w:tcW w:w="486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60" w:line="240" w:lineRule="auto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0"/>
                <w:lang w:val="ru-RU" w:eastAsia="ru-RU" w:bidi="ar-SA"/>
              </w:rPr>
              <w:t xml:space="preserve">№</w:t>
            </w:r>
            <w:r>
              <w:rPr>
                <w:rFonts w:ascii="Times New Roman" w:hAnsi="Times New Roman"/>
                <w:sz w:val="28"/>
              </w:rPr>
            </w:r>
            <w:r/>
          </w:p>
        </w:tc>
        <w:tc>
          <w:tcPr>
            <w:tcW w:w="1695" w:type="dxa"/>
            <w:textDirection w:val="lrTb"/>
            <w:noWrap w:val="false"/>
          </w:tcPr>
          <w:p>
            <w:pPr>
              <w:pStyle w:val="702"/>
              <w:ind w:left="8079" w:hanging="8079"/>
              <w:jc w:val="right"/>
              <w:spacing w:before="0" w:after="60" w:line="240" w:lineRule="auto"/>
              <w:widowControl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8"/>
                <w:szCs w:val="20"/>
                <w:lang w:val="ru-RU" w:eastAsia="ru-RU" w:bidi="ar-SA"/>
              </w:rPr>
              <w:t xml:space="preserve">[R</w:t>
            </w:r>
            <w:r>
              <w:rPr>
                <w:rFonts w:ascii="Times New Roman" w:hAnsi="Times New Roman" w:eastAsia="Times New Roman" w:cs="Times New Roman"/>
                <w:color w:val="ffffff" w:themeColor="background1"/>
                <w:sz w:val="16"/>
                <w:szCs w:val="20"/>
                <w:lang w:val="ru-RU" w:eastAsia="ru-RU" w:bidi="ar-SA"/>
              </w:rPr>
              <w:t xml:space="preserve">EGNUMSTAMP]</w:t>
            </w:r>
            <w:r>
              <w:rPr>
                <w:rFonts w:ascii="Times New Roman" w:hAnsi="Times New Roman"/>
                <w:color w:val="ffffff" w:themeColor="background1"/>
                <w:sz w:val="28"/>
              </w:rPr>
            </w:r>
            <w:r/>
          </w:p>
        </w:tc>
      </w:tr>
    </w:tbl>
    <w:p>
      <w:pPr>
        <w:pStyle w:val="702"/>
        <w:jc w:val="both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803"/>
        <w:contextualSpacing/>
        <w:ind w:left="0" w:right="0" w:firstLine="907"/>
        <w:jc w:val="center"/>
        <w:spacing w:before="0" w:after="0" w:line="240" w:lineRule="auto"/>
        <w:widowControl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/>
    </w:p>
    <w:p>
      <w:pPr>
        <w:pStyle w:val="803"/>
        <w:contextualSpacing/>
        <w:ind w:left="0" w:right="0" w:firstLine="0"/>
        <w:jc w:val="center"/>
        <w:spacing w:before="0" w:after="0" w:line="240" w:lineRule="auto"/>
        <w:widowControl/>
        <w:tabs>
          <w:tab w:val="clear" w:pos="708" w:leader="none"/>
          <w:tab w:val="left" w:pos="1134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Методика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0"/>
        <w:jc w:val="center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распределения иных межбюджетных трансфертов из краевого бюджета, источником финансово</w:t>
      </w:r>
      <w:r>
        <w:rPr>
          <w:rFonts w:ascii="Times New Roman" w:hAnsi="Times New Roman" w:eastAsia="Calibri" w:cs="Times New Roman"/>
          <w:sz w:val="28"/>
          <w:szCs w:val="28"/>
        </w:rPr>
        <w:t xml:space="preserve">го обеспечения которых являются бюджетные ассигнования резервного фонда Правительства Камчатского края, бюджетам муниципальных образований в Камчатском крае на финансовое обеспечение непредвиденных расходов, связанных с проведением мероприятий, направленны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  <w:t xml:space="preserve">х на предотвращение или ли</w:t>
      </w:r>
      <w:r>
        <w:rPr>
          <w:rFonts w:ascii="Times New Roman" w:hAnsi="Times New Roman" w:eastAsia="Calibri" w:cs="Times New Roman"/>
          <w:sz w:val="28"/>
          <w:szCs w:val="28"/>
        </w:rPr>
        <w:t xml:space="preserve">квидацию последствий стихийных бедствий и (или) других чрезвычайных ситуаций, и правила их предоставления (далее  – Методика)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0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  <w:tab w:val="left" w:pos="840" w:leader="none"/>
        </w:tabs>
        <w:rPr>
          <w:rFonts w:ascii="Times New Roman" w:hAnsi="Times New Roman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1. Методика устанавливает це</w:t>
      </w:r>
      <w:r>
        <w:rPr>
          <w:rFonts w:ascii="Times New Roman" w:hAnsi="Times New Roman" w:eastAsia="Calibri" w:cs="Times New Roman"/>
          <w:sz w:val="28"/>
          <w:szCs w:val="28"/>
        </w:rPr>
        <w:t xml:space="preserve">ли, условия и порядок предоставления иных межбюджетных трансфертов из краевого бюджета, источником финансового обеспечения которых являются бюджетные ассигнования резервного фонда Правительства Камчатского края, бюджетам муниципальных образований в Камчатс</w:t>
      </w:r>
      <w:r>
        <w:rPr>
          <w:rFonts w:ascii="Times New Roman" w:hAnsi="Times New Roman" w:eastAsia="Calibri" w:cs="Times New Roman"/>
          <w:sz w:val="28"/>
          <w:szCs w:val="28"/>
        </w:rPr>
        <w:t xml:space="preserve">ком крае на финансовое обеспечение непредвиденных расходов, связанных с проведением мероприятий, направленных на предотвращение или ликвидацию последствий стихийных бедствий и (или) других чрезвычайных ситуаций природного и (или) техногенного характера (да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  <w:t xml:space="preserve">лее соответственно – муниципальное образование, резервный фонд, иные межбюджетные трансферты, чрезвычайная ситуация).</w:t>
      </w:r>
      <w:r>
        <w:rPr>
          <w:rFonts w:ascii="Times New Roman" w:hAnsi="Times New Roman"/>
          <w:sz w:val="28"/>
          <w:szCs w:val="28"/>
          <w:highlight w:val="whit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2. Иные межбюджетные трансферты предоставляются на проведение аварийно-восстановительных и других неотложных ремонтных работ на объектах топливно-энергетического комплекса и жилищно-коммунального хозяйств</w:t>
      </w:r>
      <w:r>
        <w:rPr>
          <w:rFonts w:ascii="Times New Roman" w:hAnsi="Times New Roman" w:eastAsia="Calibri" w:cs="Times New Roman"/>
          <w:sz w:val="28"/>
          <w:szCs w:val="28"/>
          <w:highlight w:val="white"/>
        </w:rPr>
        <w:t xml:space="preserve">а для предотвращения или ликвидации чрезвычайных ситуаций </w:t>
      </w:r>
      <w:r>
        <w:rPr>
          <w:rFonts w:ascii="Times New Roman" w:hAnsi="Times New Roman" w:eastAsia="Calibri" w:cs="Times New Roman"/>
          <w:sz w:val="28"/>
          <w:szCs w:val="28"/>
        </w:rPr>
        <w:t xml:space="preserve">и их последствий (далее – Объекты).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3. Иные межбюджетные трансферты не могут предоставляться на цели, не предусмотренные Методикой.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4. Иные межбюджетные трансферты предоставляются в пределах лимитов бюджетных обязательств, доведенных до Министерства </w:t>
      </w:r>
      <w:r>
        <w:rPr>
          <w:rFonts w:ascii="Times New Roman" w:hAnsi="Times New Roman" w:eastAsia="Calibri" w:cs="Times New Roman"/>
          <w:sz w:val="28"/>
          <w:szCs w:val="28"/>
        </w:rPr>
        <w:br w:type="textWrapping" w:clear="all"/>
      </w:r>
      <w:r>
        <w:rPr>
          <w:rFonts w:ascii="Times New Roman" w:hAnsi="Times New Roman" w:eastAsia="Calibri" w:cs="Times New Roman"/>
          <w:sz w:val="28"/>
          <w:szCs w:val="28"/>
        </w:rPr>
        <w:t xml:space="preserve">жилищно-коммунального хозяйства и энергетики Камчатского края (далее – Министерство) как получателя средств краевого бюджета, на предоставление иных межбюджетных трансфертов на цели, указанные в части 2 Методики.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5. Объем бюджетных ассигнований краевого бюджета, выделяемых для предоставления иных межбюджетных трансфертов на цели, указанные в части 2 Методики, устанавливается распоряжени</w:t>
      </w:r>
      <w:r>
        <w:rPr>
          <w:rFonts w:ascii="Times New Roman" w:hAnsi="Times New Roman" w:eastAsia="Calibri" w:cs="Times New Roman"/>
          <w:sz w:val="28"/>
          <w:szCs w:val="28"/>
        </w:rPr>
        <w:t xml:space="preserve">ем Правительства Камчатского края об использовании бюджетных ассигнований резервного фонда Правительства Камчатского края на основании заявки о потребности в бюджетных ассигнованиях с приложением документов, указанных в части 9 Методики.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6. Условиями предоставления иных межбюджетных трансфертов являются: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1) наличие на Объектах неисправностей, требующих оперативного устранения;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2) введение на территории муниципального образования режима функционирования «Чрезвычайная ситуация» или «Повышенная готовность»;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3) заключение соглашения о предоставлении иных межбюджетных трансфертов между Министерством и муниципальным образованием в соответствии с частью 7 Методики.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7. Предоставление иных межбюджетных трансфертов осуществляется на основании соглашения, указанного в пункте 3 части 6 Методики, заключенного с использов</w:t>
      </w:r>
      <w:r>
        <w:rPr>
          <w:rFonts w:ascii="Times New Roman" w:hAnsi="Times New Roman" w:eastAsia="Calibri" w:cs="Times New Roman"/>
          <w:sz w:val="28"/>
          <w:szCs w:val="28"/>
        </w:rPr>
        <w:t xml:space="preserve">анием государственной информационной системы Камчатского края «Модифицированная программа для ЭВМ «Управление мастер-данными организации» в соответствии с типовой формой соглашения, утвержденной Министерством финансов Камчатского края (далее – соглашение).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8. Размер иных межбюджетных трансфертов (Pi), предоставляемых бюджету (i) муниципального образования из краевого бюджета, источником финансового обеспечения которых являются бюджетные ассигнования резервного фонда Правительства Камчатского края, </w:t>
      </w:r>
      <w:r>
        <w:rPr>
          <w:rFonts w:ascii="Times New Roman" w:hAnsi="Times New Roman" w:eastAsia="Calibri" w:cs="Times New Roman"/>
          <w:strike w:val="0"/>
          <w:sz w:val="28"/>
          <w:szCs w:val="28"/>
          <w:highlight w:val="white"/>
        </w:rPr>
        <w:t xml:space="preserve">на финансовое обеспечение непредвиденных расходов, связанных с про</w:t>
      </w:r>
      <w:r>
        <w:rPr>
          <w:rFonts w:ascii="Times New Roman" w:hAnsi="Times New Roman" w:eastAsia="Calibri" w:cs="Times New Roman"/>
          <w:sz w:val="28"/>
          <w:szCs w:val="28"/>
        </w:rPr>
        <w:t xml:space="preserve">ведением мероприятий, направленных на ликвидацию последствий чрезвычайных ситуаций, рассчитывается по формуле: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76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/>
    </w:p>
    <w:p>
      <w:pPr>
        <w:pStyle w:val="803"/>
        <w:contextualSpacing/>
        <w:ind w:left="0" w:right="0" w:firstLine="0"/>
        <w:jc w:val="center"/>
        <w:spacing w:before="0" w:after="0" w:line="276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Pi = Пi - СМБi, где: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76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Пi – потребность в бюджетных средствах на реализацию цели, предусмотренной частью 2 Методики;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СМБi – размер средств резервного фонда местной администрации, направляемый на заявленные в обращении цели</w:t>
      </w:r>
      <w:r>
        <w:rPr>
          <w:rFonts w:ascii="Times New Roman" w:hAnsi="Times New Roman" w:eastAsia="Calibri" w:cs="Times New Roman"/>
          <w:strike w:val="0"/>
          <w:sz w:val="28"/>
          <w:szCs w:val="28"/>
          <w:highlight w:val="white"/>
        </w:rPr>
        <w:t xml:space="preserve"> для финансового обеспечения непредвиденных расходов, связанных с пред</w:t>
      </w:r>
      <w:r>
        <w:rPr>
          <w:rFonts w:ascii="Times New Roman" w:hAnsi="Times New Roman" w:eastAsia="Calibri" w:cs="Times New Roman"/>
          <w:sz w:val="28"/>
          <w:szCs w:val="28"/>
        </w:rPr>
        <w:t xml:space="preserve">упреждением и ликвидацией последствий чрезвычайных ситуаций на дату обращения муниципального образования в Правительство Камчатского края с просьбой о выделении средств из резервного фонда Правительства Камчатского края муниципальному образованию.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9. В целях заключения соглашения муниципальные образования представляют в Министерство следующие документы: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1) копию документа, представленного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shd w:val="clear" w:color="auto" w:fill="auto"/>
        </w:rPr>
        <w:t xml:space="preserve">уполномоченным органом (учреждением), подтверждающего угрозу возникновения или факт наступления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чрезвычайной ситуации;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2) копию решения главы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:shd w:val="clear" w:color="auto" w:fill="auto"/>
        </w:rPr>
        <w:t xml:space="preserve">муниципального образования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о введении режима функционирования «Чрезвычайная ситуация» или «Повышенная готовность» на территории муниципального образования;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3) копию протокола или решения заседания комиссии по предупреждению и ликвидации чрезвычайных ситуаций и обеспечению пожарной безопасности муниципального образования (с указанием необходимости проведения заявляемых видов работ);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4) акт обследования Объекта, утвержденный главой муниципального образования;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color w:val="000000" w:themeColor="text1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5) копию сметной документации (локальных сметных расчетов) на проведение аварийно- восстановительных и других неотложных ремонтных работ на Объектах;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6) фотоматериалы с указанием координат места пр</w:t>
      </w:r>
      <w:r>
        <w:rPr>
          <w:rFonts w:ascii="Times New Roman" w:hAnsi="Times New Roman" w:eastAsia="Calibri" w:cs="Times New Roman"/>
          <w:sz w:val="28"/>
          <w:szCs w:val="28"/>
        </w:rPr>
        <w:t xml:space="preserve">оведения работ и фиксацией исходного состояния участков (объектов) до начала проведения работ (при наличии).</w:t>
      </w:r>
      <w:r>
        <w:rPr>
          <w:rFonts w:ascii="Times New Roman" w:hAnsi="Times New Roman" w:eastAsia="Calibri" w:cs="Times New Roman"/>
          <w:sz w:val="28"/>
          <w:szCs w:val="28"/>
          <w:highlight w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10. Документы, указанные в части 9 Методики, направляются в электронном виде через информационную систему «Единая система электронно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го документооборота» (далее – ИС ЕСЭД) либо на адрес электронной почты Министерства tek1@kamgov.ru с последующим представлением на бумажном носителе в срок, не превышающий 30 рабочих дней со дня их направления посредством ИС ЕСЭД либо по электронной почте.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При пр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едставлении в Министерство копий документов на бумажном носителе указанные копии должны быть заверены главой администрации муниципального образования или лицом, действующим от его имени, и скреплены оттиском печати администрации муниципального образования.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Документы, указанные в части 9 Методики, направленные в электронном виде или представленные на бумажном носителе, регистрируются Министерством не позднее дня, следующего за днем их представления.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11. Министерство в случае представления администрацией муниципального образования документов, указанных в ч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асти 9 Методики, не в полном объеме, а также в случае их несоответствия требованиям, установленным Методикой, направляет документы на доработку в течение 2 рабочих дней со дня их представления на бумажном носителе.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Администрация муниципального образования представляет в Министерство доработанные документы в срок не позднее 2 рабочих дней со дня их получения. Повторное рассмотрение документов осуществляется в соответствии с Методикой.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12. Министерств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о ф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ормирует в соответствии с утвержденным кассовым планом заявку на финансирование и направляет ее в течение 2 рабочих дней со дня регистрации документов, указанных в части 9 Методики, в Министерство финансов Камчатского края.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>
        <w:rPr>
          <w:highlight w:val="white"/>
        </w:rPr>
      </w:r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13. Министерство перечисляет средства иных межбюджетных трансфертов муниципальному образованию на лицевой счет, открытый в территориальном органе Федерального казначейства, в течение 3 рабочих дней со дня поступления средств в Министерство.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14. Контроль за целевым использованием иных межбюджетных трансфертов осуществляется Министерством и органами государственного финансового контроля Камчатского края.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15. Министерство осуществляет контроль за целевым использованием иных межбюджетных трансфертов путем оценки соответствующего отчета администрации муниципального образования о расходовании иного межбюджетного трансферта.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16. Адми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нистрация муниципального образования представляет в Министерство не позднее 20 числа месяца, следующего за отчетным периодом, ежеквартальные и годовые отчеты о расходовании иного межбюджетного трансферта, по форме, установленной Соглашением, с приложением: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1) копий договоров о выполнении  аварийно-восстановительных и других неотложных ремонтных работ на Объектах;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2) копий актов приемки выполненных аварийно-восстановительных и других неотложных ремонтных работ на Объектах;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3) копий платежных поручений, подтверждающих расходование в полном объеме суммы иных межбюджетных трансфертов за счет средств бюджета Камчатского края (с отметкой Управления Федерального казначейства по Камчатскому краю);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4) пояснительной записки, содержащей информацию о фактически выполненных объемах аварийно-восстановительных и других неотложных ремонтных работ на Объектах.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17. В случае использования в текущем финансовом году средств иных межбюджетных трансферто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в в размере менее запланированных объемов предоставления средств иных межбюджетных трансфертов образовавшийся остаток не использованных в текущем финансовом году иных межбюджетных трансфертов возвращается в бюджет Камчатского края в порядке, установленном </w:t>
      </w:r>
      <w:hyperlink r:id="rId15" w:tooltip="./%7BКонсультантПлюс%7D" w:history="1">
        <w:r>
          <w:rPr>
            <w:rFonts w:ascii="Times New Roman" w:hAnsi="Times New Roman" w:eastAsia="Calibri" w:cs="Times New Roman"/>
            <w:color w:val="000000" w:themeColor="text1"/>
            <w:sz w:val="28"/>
            <w:szCs w:val="28"/>
            <w:highlight w:val="white"/>
          </w:rPr>
          <w:t xml:space="preserve">статьей 242</w:t>
        </w:r>
      </w:hyperlink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 Бюджетного кодекса Российской Федерации.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18. О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рганы местного самоуправления муниципального образования несут ответственность за нецелевое использование предоставленных иных межбюджетных трансфертов, нарушение правил их предоставления, а также за недостоверность сведений, представляемых в Министерство.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19. В случае ес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ли неиспользованный остаток иных межбюджетных трансфертов не перечислен в доход бюджета Камчатского края, указанные средства подлежат взысканию в доход бюджета Камчатского края в соответствии с требованиями бюджетного законодательства Российской Федерации.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  <w:highlight w:val="white"/>
        </w:rPr>
        <w:t xml:space="preserve">20. Результатом предоставления ины</w:t>
      </w:r>
      <w:r>
        <w:rPr>
          <w:rFonts w:ascii="Times New Roman" w:hAnsi="Times New Roman" w:eastAsia="Calibri" w:cs="Times New Roman"/>
          <w:sz w:val="28"/>
          <w:szCs w:val="28"/>
        </w:rPr>
        <w:t xml:space="preserve">х межбюджет</w:t>
      </w:r>
      <w:r>
        <w:rPr>
          <w:rFonts w:ascii="Times New Roman" w:hAnsi="Times New Roman" w:eastAsia="Calibri" w:cs="Times New Roman"/>
          <w:sz w:val="28"/>
          <w:szCs w:val="28"/>
        </w:rPr>
        <w:t xml:space="preserve">ных трансфертов является количество восстановленных Объектов и приведение их в соответствие с действующими правилами и нормами, обеспечивающими их безопасную эксплуатацию. Результат предоставления иных межбюджетных трансфертов устанавливается в соглашении.</w:t>
      </w:r>
      <w:r>
        <w:rPr>
          <w:rFonts w:ascii="Times New Roman" w:hAnsi="Times New Roman" w:eastAsia="Calibri" w:cs="Times New Roman"/>
          <w:sz w:val="28"/>
          <w:szCs w:val="28"/>
          <w:highlight w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21. Оценка эффективности предоставления ины</w:t>
      </w:r>
      <w:r>
        <w:rPr>
          <w:rFonts w:ascii="Times New Roman" w:hAnsi="Times New Roman" w:eastAsia="Calibri" w:cs="Times New Roman"/>
          <w:sz w:val="28"/>
          <w:szCs w:val="28"/>
        </w:rPr>
        <w:t xml:space="preserve">х межбюджетных трансфертов осуществляется Министерством путем сравнения установленных соглашением плановых значений результатов предоставления иных межбюджетных трансфертов и фактически достигнутых значений указанных результатов по итогам финансового года.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22. Сроки, порядок и формы отчетов о расходах бюджета муниципального образования, в целях софинансирования которых предоставляются иные межбюджетные трансферты, и о достижении значений результатов их предоставления определяются соглашением.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23. В случае нецелевого использ</w:t>
      </w:r>
      <w:r>
        <w:rPr>
          <w:rFonts w:ascii="Times New Roman" w:hAnsi="Times New Roman" w:eastAsia="Calibri" w:cs="Times New Roman"/>
          <w:sz w:val="28"/>
          <w:szCs w:val="28"/>
        </w:rPr>
        <w:t xml:space="preserve">ования иных межбюджетных трансфертов и (или) нарушения органами местного самоуправления муниципального образования правил их предоставления к ним применяются меры финансовой ответственности, предусмотренные бюджетным законодательством Российской Федерации.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24. Основанием для применения мер финансовой ответственности к муниципальному образованию является документально подтвер</w:t>
      </w:r>
      <w:r>
        <w:rPr>
          <w:rFonts w:ascii="Times New Roman" w:hAnsi="Times New Roman" w:eastAsia="Calibri" w:cs="Times New Roman"/>
          <w:sz w:val="28"/>
          <w:szCs w:val="28"/>
        </w:rPr>
        <w:t xml:space="preserve">жденный факт недостижения по состоянию на 31 декабря года предоставления иного межбюджетного трансферта значений результатов его использования, предусмотренных соглашением, и неустранение указанных нарушений в срок до 1 апреля года, следующего за отчетным.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Факт недостижения значений результатов использован</w:t>
      </w:r>
      <w:r>
        <w:rPr>
          <w:rFonts w:ascii="Times New Roman" w:hAnsi="Times New Roman" w:eastAsia="Calibri" w:cs="Times New Roman"/>
          <w:sz w:val="28"/>
          <w:szCs w:val="28"/>
        </w:rPr>
        <w:t xml:space="preserve">ия устанавливается Министерством по результатам оценки эффективности, проводимой в соответствии с частью 21 Методики, на основании отчетов, представленных муниципальным образованием в соответствии с частью 16 Методики.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иного межбюджетного трансферта не достигнуты значения результатов его </w:t>
      </w:r>
      <w:r>
        <w:rPr>
          <w:rFonts w:ascii="Times New Roman" w:hAnsi="Times New Roman" w:eastAsia="Calibri" w:cs="Times New Roman"/>
          <w:sz w:val="28"/>
          <w:szCs w:val="28"/>
        </w:rPr>
        <w:t xml:space="preserve">использования, установленные соглашением, и в срок до 1 апреля года, следующего за отчетным, указанные нарушения не устранены, объем средств, подлежащих возврату из бюджета муниципального образования в краевой бюджет (Увозврата), рассчитывается по формуле: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4"/>
        <w:jc w:val="both"/>
      </w:pPr>
      <w:r/>
      <w:r/>
    </w:p>
    <w:p>
      <w:pPr>
        <w:pStyle w:val="804"/>
        <w:jc w:val="center"/>
        <w:rPr>
          <w:highlight w:val="yellow"/>
        </w:rPr>
      </w:pPr>
      <w:r>
        <w:rPr>
          <w:highlight w:val="yellow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  <wp:simplePos x="0" y="0"/>
                <wp:positionH relativeFrom="column">
                  <wp:posOffset>1002665</wp:posOffset>
                </wp:positionH>
                <wp:positionV relativeFrom="paragraph">
                  <wp:posOffset>57150</wp:posOffset>
                </wp:positionV>
                <wp:extent cx="3542030" cy="785495"/>
                <wp:effectExtent l="0" t="0" r="0" b="0"/>
                <wp:wrapSquare wrapText="bothSides"/>
                <wp:docPr id="2" name="Изображение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3542030" cy="785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3;o:allowoverlap:true;o:allowincell:false;mso-position-horizontal-relative:text;margin-left:79.0pt;mso-position-horizontal:absolute;mso-position-vertical-relative:text;margin-top:4.5pt;mso-position-vertical:absolute;width:278.9pt;height:61.8pt;mso-wrap-distance-left:0.0pt;mso-wrap-distance-top:0.0pt;mso-wrap-distance-right:0.0pt;mso-wrap-distance-bottom:0.0pt;" stroked="false">
                <v:path textboxrect="0,0,0,0"/>
                <w10:wrap type="square"/>
                <v:imagedata r:id="rId16" o:title=""/>
              </v:shape>
            </w:pict>
          </mc:Fallback>
        </mc:AlternateContent>
      </w:r>
      <w:r>
        <w:rPr>
          <w:highlight w:val="yellow"/>
        </w:rPr>
      </w:r>
      <w:r/>
    </w:p>
    <w:p>
      <w:pPr>
        <w:pStyle w:val="804"/>
        <w:jc w:val="center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/>
    </w:p>
    <w:p>
      <w:pPr>
        <w:pStyle w:val="804"/>
        <w:jc w:val="center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/>
    </w:p>
    <w:p>
      <w:pPr>
        <w:pStyle w:val="804"/>
        <w:jc w:val="center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/>
    </w:p>
    <w:p>
      <w:pPr>
        <w:pStyle w:val="804"/>
        <w:jc w:val="center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/>
    </w:p>
    <w:p>
      <w:pPr>
        <w:pStyle w:val="804"/>
        <w:jc w:val="center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/>
    </w:p>
    <w:p>
      <w:pPr>
        <w:pStyle w:val="804"/>
        <w:ind w:left="0" w:right="0" w:firstLine="540"/>
        <w:jc w:val="both"/>
        <w:spacing w:before="0" w:after="0"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Vфакт </w:t>
      </w:r>
      <w:r>
        <w:rPr>
          <w:rFonts w:eastAsia="Calibri" w:cs="Times New Roman"/>
          <w:sz w:val="28"/>
          <w:szCs w:val="28"/>
        </w:rPr>
        <w:t xml:space="preserve">–</w:t>
      </w:r>
      <w:r>
        <w:rPr>
          <w:sz w:val="28"/>
          <w:szCs w:val="28"/>
        </w:rPr>
        <w:t xml:space="preserve"> размер иного межбюджетного трансферта, предоставленного бюджету муниципального образования в отчетном финансовом году;</w:t>
      </w:r>
      <w:r>
        <w:rPr>
          <w:sz w:val="28"/>
          <w:szCs w:val="28"/>
        </w:rPr>
      </w:r>
      <w:r/>
    </w:p>
    <w:p>
      <w:pPr>
        <w:pStyle w:val="804"/>
        <w:ind w:left="0" w:right="0" w:firstLine="540"/>
        <w:jc w:val="both"/>
        <w:spacing w:before="0" w:after="0"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tiфакт </w:t>
      </w:r>
      <w:r>
        <w:rPr>
          <w:rFonts w:eastAsia="Calibri" w:cs="Times New Roman"/>
          <w:sz w:val="28"/>
          <w:szCs w:val="28"/>
        </w:rPr>
        <w:t xml:space="preserve">–</w:t>
      </w:r>
      <w:r>
        <w:rPr>
          <w:sz w:val="28"/>
          <w:szCs w:val="28"/>
        </w:rPr>
        <w:t xml:space="preserve"> фактически достигнутое значение i-го результата использования иного межбюджетного трансферта на отчетную дату;</w:t>
      </w:r>
      <w:r>
        <w:rPr>
          <w:sz w:val="28"/>
          <w:szCs w:val="28"/>
        </w:rPr>
      </w:r>
      <w:r/>
    </w:p>
    <w:p>
      <w:pPr>
        <w:pStyle w:val="804"/>
        <w:ind w:left="0" w:right="0" w:firstLine="540"/>
        <w:jc w:val="both"/>
        <w:spacing w:before="0" w:after="0"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tiплан </w:t>
      </w:r>
      <w:r>
        <w:rPr>
          <w:rFonts w:eastAsia="Calibri" w:cs="Times New Roman"/>
          <w:sz w:val="28"/>
          <w:szCs w:val="28"/>
        </w:rPr>
        <w:t xml:space="preserve">–</w:t>
      </w:r>
      <w:r>
        <w:rPr>
          <w:sz w:val="28"/>
          <w:szCs w:val="28"/>
        </w:rPr>
        <w:t xml:space="preserve"> плановое значение i-го результата использования иного межбюджетного трансферта, установленное соглашением;</w:t>
      </w:r>
      <w:r>
        <w:rPr>
          <w:sz w:val="28"/>
          <w:szCs w:val="28"/>
        </w:rPr>
      </w:r>
      <w:r/>
    </w:p>
    <w:p>
      <w:pPr>
        <w:pStyle w:val="804"/>
        <w:ind w:left="0" w:right="0" w:firstLine="540"/>
        <w:jc w:val="both"/>
        <w:spacing w:before="0" w:after="0"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m </w:t>
      </w:r>
      <w:r>
        <w:rPr>
          <w:rFonts w:eastAsia="Calibri" w:cs="Times New Roman"/>
          <w:sz w:val="28"/>
          <w:szCs w:val="28"/>
        </w:rPr>
        <w:t xml:space="preserve">–</w:t>
      </w:r>
      <w:r>
        <w:rPr>
          <w:sz w:val="28"/>
          <w:szCs w:val="28"/>
        </w:rPr>
        <w:t xml:space="preserve"> количество недостигнутых результатов использования иного межбюджетного трансферта;</w:t>
      </w:r>
      <w:r>
        <w:rPr>
          <w:sz w:val="28"/>
          <w:szCs w:val="28"/>
        </w:rPr>
      </w:r>
      <w:r/>
    </w:p>
    <w:p>
      <w:pPr>
        <w:pStyle w:val="804"/>
        <w:ind w:left="0" w:right="0" w:firstLine="540"/>
        <w:jc w:val="both"/>
        <w:spacing w:before="0" w:after="0"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n </w:t>
      </w:r>
      <w:r>
        <w:rPr>
          <w:rFonts w:eastAsia="Calibri" w:cs="Times New Roman"/>
          <w:sz w:val="28"/>
          <w:szCs w:val="28"/>
        </w:rPr>
        <w:t xml:space="preserve">–</w:t>
      </w:r>
      <w:r>
        <w:rPr>
          <w:sz w:val="28"/>
          <w:szCs w:val="28"/>
        </w:rPr>
        <w:t xml:space="preserve"> общее количество результатов использования иного межбюджетного трансферта.</w:t>
      </w:r>
      <w:r>
        <w:rPr>
          <w:sz w:val="28"/>
          <w:szCs w:val="28"/>
        </w:rPr>
      </w:r>
      <w:r/>
    </w:p>
    <w:p>
      <w:pPr>
        <w:pStyle w:val="804"/>
        <w:ind w:left="0" w:right="0" w:firstLine="540"/>
        <w:jc w:val="both"/>
        <w:spacing w:before="0" w:after="0"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В случае если фактически достигнутое значение результата использования превышает плановое значение, сумма возврата принимается равной нулю.</w:t>
      </w:r>
      <w:r>
        <w:rPr>
          <w:sz w:val="28"/>
          <w:szCs w:val="28"/>
        </w:rPr>
      </w:r>
      <w:r/>
    </w:p>
    <w:p>
      <w:pPr>
        <w:pStyle w:val="804"/>
        <w:ind w:left="0" w:right="0" w:firstLine="540"/>
        <w:jc w:val="both"/>
        <w:spacing w:before="0" w:after="0"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При расчете объема средств, подлежащих возврату из бюджета муниципального образования в краевой бюджет, размер остатка иного межбюджетного трансферта, не использованного на 1 января, не учитывается в составе фактически использованных средств (Vфакт).</w:t>
      </w:r>
      <w:bookmarkStart w:id="3" w:name="undefined"/>
      <w:r>
        <w:rPr>
          <w:sz w:val="28"/>
          <w:szCs w:val="28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/>
      <w:bookmarkEnd w:id="3"/>
      <w:r>
        <w:rPr>
          <w:rFonts w:ascii="Times New Roman" w:hAnsi="Times New Roman" w:eastAsia="Calibri" w:cs="Times New Roman"/>
          <w:sz w:val="28"/>
          <w:szCs w:val="28"/>
        </w:rPr>
        <w:t xml:space="preserve">25. Министерство в срок до 15 апреля года, следующего за отчетным, в случае отсутствия оснований для освобождения муниципального образования от применения мер финансовой ответственности, предусмотренных частью 28 Методики, направл</w:t>
      </w:r>
      <w:r>
        <w:rPr>
          <w:rFonts w:ascii="Times New Roman" w:hAnsi="Times New Roman" w:eastAsia="Calibri" w:cs="Times New Roman"/>
          <w:sz w:val="28"/>
          <w:szCs w:val="28"/>
        </w:rPr>
        <w:t xml:space="preserve">яет главе муниципального образования требование о возврате в краевой бюджет средств иного межбюджетного трансферта посредством ИС ЕСЭД, с указанием объема средств, подлежащих возврату и срока их возврата, с учетом положений частей 24 и 26 Методики.</w:t>
      </w:r>
      <w:bookmarkStart w:id="4" w:name="undefined_Копия_1"/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/>
      <w:bookmarkEnd w:id="4"/>
      <w:r>
        <w:rPr>
          <w:rFonts w:ascii="Times New Roman" w:hAnsi="Times New Roman" w:eastAsia="Calibri" w:cs="Times New Roman"/>
          <w:sz w:val="28"/>
          <w:szCs w:val="28"/>
        </w:rPr>
        <w:t xml:space="preserve">26. Муниципальное образование обязано осуществить возврат средств иного межбюджетного трансферта на основании требования, указанного в </w:t>
      </w:r>
      <w:hyperlink r:id="rId17" w:tooltip="./срока...#P120&quot; l &quot;P120" w:history="1">
        <w:r>
          <w:rPr>
            <w:rFonts w:ascii="Times New Roman" w:hAnsi="Times New Roman" w:eastAsia="Calibri" w:cs="Times New Roman"/>
            <w:sz w:val="28"/>
            <w:szCs w:val="28"/>
          </w:rPr>
          <w:t xml:space="preserve">части 25</w:t>
        </w:r>
      </w:hyperlink>
      <w:r>
        <w:rPr>
          <w:rFonts w:ascii="Times New Roman" w:hAnsi="Times New Roman" w:eastAsia="Calibri" w:cs="Times New Roman"/>
          <w:sz w:val="28"/>
          <w:szCs w:val="28"/>
        </w:rPr>
        <w:t xml:space="preserve"> Методики, в доход краевого бюджета в срок до 1 июня года, следующего за годом предоставления иного межбюджетного трансферта.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27. В случае неисполнения муниципальным образованием требования, указанного в </w:t>
      </w:r>
      <w:hyperlink r:id="rId18" w:tooltip="./срока...#P120&quot; l &quot;P120" w:history="1">
        <w:r>
          <w:rPr>
            <w:rFonts w:ascii="Times New Roman" w:hAnsi="Times New Roman" w:eastAsia="Calibri" w:cs="Times New Roman"/>
            <w:sz w:val="28"/>
            <w:szCs w:val="28"/>
          </w:rPr>
          <w:t xml:space="preserve">части 25</w:t>
        </w:r>
      </w:hyperlink>
      <w:r>
        <w:rPr>
          <w:rFonts w:ascii="Times New Roman" w:hAnsi="Times New Roman" w:eastAsia="Calibri" w:cs="Times New Roman"/>
          <w:sz w:val="28"/>
          <w:szCs w:val="28"/>
        </w:rPr>
        <w:t xml:space="preserve"> Методики, Министерство в течение 10 рабочих дн</w:t>
      </w:r>
      <w:r>
        <w:rPr>
          <w:rFonts w:ascii="Times New Roman" w:hAnsi="Times New Roman" w:eastAsia="Calibri" w:cs="Times New Roman"/>
          <w:sz w:val="28"/>
          <w:szCs w:val="28"/>
        </w:rPr>
        <w:t xml:space="preserve">ей со дня истечения срока для возврата средств иного межбюджетного трансферта в доход краевого бюджета, указанного в части 26 Методики, принимает меры по взысканию указанных средств в соответствии с бюджетным законодательством Российской Федерации.</w:t>
      </w:r>
      <w:bookmarkStart w:id="5" w:name="undefined_Копия_2"/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/>
      <w:bookmarkEnd w:id="5"/>
      <w:r>
        <w:rPr>
          <w:rFonts w:ascii="Times New Roman" w:hAnsi="Times New Roman" w:eastAsia="Calibri" w:cs="Times New Roman"/>
          <w:sz w:val="28"/>
          <w:szCs w:val="28"/>
        </w:rPr>
        <w:t xml:space="preserve">28. Муниципальное образование освобождается от применения м</w:t>
      </w:r>
      <w:r>
        <w:rPr>
          <w:rFonts w:ascii="Times New Roman" w:hAnsi="Times New Roman" w:eastAsia="Calibri" w:cs="Times New Roman"/>
          <w:sz w:val="28"/>
          <w:szCs w:val="28"/>
        </w:rPr>
        <w:t xml:space="preserve">ер финансовой ответственности и обязанности возврата средств иного межбюджетного трансферта в краевой бюджет при наличии обстоятельств непреодолимой силы. Для освобождения муниципального образования от применения мер финансовой ответственности и обязанност</w:t>
      </w:r>
      <w:r>
        <w:rPr>
          <w:rFonts w:ascii="Times New Roman" w:hAnsi="Times New Roman" w:eastAsia="Calibri" w:cs="Times New Roman"/>
          <w:sz w:val="28"/>
          <w:szCs w:val="28"/>
        </w:rPr>
        <w:t xml:space="preserve">и возврата средств иного межбюджетного трансферта в краевой бюджет глава муниципального образования направляет посредством ИС ЕСЭД в Министерство в срок до 10 апреля года, следующего за отчетным, мотивированное обращение с приложением следующих документов: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1) копий нормативных правовых актов о введении на территории муниципального образования повторных (новых) режимов чрезвычайной ситуации, препятствовавших завершению аварийно-восстановительных и других неотложных ремонтных работ в установленный срок;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2) копий официальных документов Федеральное государственное бюджетное учреждение «Камчатское управление по гидрометеорологии</w:t>
        <w:br/>
        <w:t xml:space="preserve">и мониторингу окружающ</w:t>
      </w:r>
      <w:r>
        <w:rPr>
          <w:rFonts w:ascii="Times New Roman" w:hAnsi="Times New Roman" w:eastAsia="Calibri" w:cs="Times New Roman"/>
          <w:sz w:val="28"/>
          <w:szCs w:val="28"/>
        </w:rPr>
        <w:t xml:space="preserve">ей среды» (ФГБУ «Камчатское УГМС»), подтверждающих аномальные погодно-климатические условия (экстремальные паводки, затяжные ливни, вызвавшие новые селевые потоки, раннее промерзание грунтов), повлекшие за собой вынужденную технологическую остановку работ.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29. Документы, указанные в части 28 Методики, подлежат регистрации в день их поступления в Министерство.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Министерство рассматривает документы, указанные в части 28 Методики, в течение 10 рабочих дней со дня их регистрации, принимает решение об освобождении муниципа</w:t>
      </w:r>
      <w:r>
        <w:rPr>
          <w:rFonts w:ascii="Times New Roman" w:hAnsi="Times New Roman" w:eastAsia="Calibri" w:cs="Times New Roman"/>
          <w:sz w:val="28"/>
          <w:szCs w:val="28"/>
        </w:rPr>
        <w:t xml:space="preserve">льного образования от применения мер финансовой ответственности либо об отказе в освобождении муниципального образования от применения мер финансовой ответственности и направляет соответствующее решение главе муниципального образования посредством </w:t>
        <w:br/>
        <w:t xml:space="preserve">ИС ЕСЭД.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</w:rPr>
        <w:t xml:space="preserve">Министерство оформляет результаты проверок в порядке, установленном </w:t>
      </w:r>
      <w:hyperlink r:id="rId19" w:tooltip="./%7BКонсультантПлюс%7D" w:history="1">
        <w:r>
          <w:rPr>
            <w:rFonts w:ascii="Times New Roman" w:hAnsi="Times New Roman" w:eastAsia="Calibri" w:cs="Times New Roman"/>
            <w:sz w:val="28"/>
            <w:szCs w:val="28"/>
          </w:rPr>
          <w:t xml:space="preserve">пунктами 48</w:t>
        </w:r>
      </w:hyperlink>
      <w:r>
        <w:t xml:space="preserve">–</w:t>
      </w:r>
      <w:hyperlink r:id="rId20" w:tooltip="./%7BКонсультантПлюс%7D" w:history="1">
        <w:r>
          <w:rPr>
            <w:rFonts w:ascii="Times New Roman" w:hAnsi="Times New Roman" w:eastAsia="Calibri" w:cs="Times New Roman"/>
            <w:sz w:val="28"/>
            <w:szCs w:val="28"/>
          </w:rPr>
          <w:t xml:space="preserve">59</w:t>
        </w:r>
      </w:hyperlink>
      <w:r>
        <w:rPr>
          <w:rFonts w:ascii="Times New Roman" w:hAnsi="Times New Roman" w:eastAsia="Calibri" w:cs="Times New Roman"/>
          <w:sz w:val="28"/>
          <w:szCs w:val="28"/>
        </w:rPr>
        <w:t xml:space="preserve">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результатов», утвержденного постановлением Правительства Российской Федерации </w:t>
        <w:br/>
        <w:t xml:space="preserve">от 17.08.2020 № 1235.</w:t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eastAsia="Calibri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>
        <w:rPr>
          <w:rFonts w:ascii="Times New Roman" w:hAnsi="Times New Roman" w:eastAsia="Calibri" w:cs="Times New Roman"/>
          <w:sz w:val="28"/>
          <w:szCs w:val="28"/>
          <w14:ligatures w14:val="none"/>
        </w:rPr>
      </w:r>
      <w:r/>
    </w:p>
    <w:p>
      <w:pPr>
        <w:pStyle w:val="803"/>
        <w:contextualSpacing/>
        <w:ind w:left="0" w:right="0" w:firstLine="907"/>
        <w:jc w:val="both"/>
        <w:spacing w:before="0" w:after="0"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/>
          <w:sz w:val="28"/>
          <w:szCs w:val="28"/>
        </w:rPr>
        <w:suppressLineNumbers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0" w:bottom="1134" w:left="1417" w:header="397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ohit Devanagari">
    <w:panose1 w:val="020B0600000000000000"/>
  </w:font>
  <w:font w:name="Tahoma">
    <w:panose1 w:val="020B0604030504040204"/>
  </w:font>
  <w:font w:name="Droid Sans">
    <w:panose1 w:val="020B0606030804020204"/>
  </w:font>
  <w:font w:name="Open Sans">
    <w:panose1 w:val="020B0606030504020204"/>
  </w:font>
  <w:font w:name="Segoe UI">
    <w:panose1 w:val="020B0503020204020204"/>
  </w:font>
  <w:font w:name="Arial">
    <w:panose1 w:val="020B0604020202020204"/>
  </w:font>
  <w:font w:name="XO Thames">
    <w:panose1 w:val="020206030504050203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7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9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  <w:sz w:val="28"/>
        <w:szCs w:val="28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01">
    <w:name w:val="No List"/>
    <w:uiPriority w:val="99"/>
    <w:semiHidden/>
    <w:unhideWhenUsed/>
  </w:style>
  <w:style w:type="paragraph" w:styleId="702" w:default="1">
    <w:name w:val="Normal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03">
    <w:name w:val="Heading 1"/>
    <w:uiPriority w:val="9"/>
    <w:qFormat/>
    <w:pPr>
      <w:jc w:val="both"/>
      <w:spacing w:before="120" w:after="120" w:line="264" w:lineRule="auto"/>
      <w:widowControl/>
      <w:outlineLvl w:val="0"/>
    </w:pPr>
    <w:rPr>
      <w:rFonts w:ascii="XO Thames" w:hAnsi="XO Thames" w:eastAsia="Times New Roman" w:cs="Times New Roman"/>
      <w:b/>
      <w:color w:val="000000"/>
      <w:sz w:val="32"/>
      <w:szCs w:val="20"/>
      <w:lang w:val="ru-RU" w:eastAsia="ru-RU" w:bidi="ar-SA"/>
    </w:rPr>
  </w:style>
  <w:style w:type="paragraph" w:styleId="704">
    <w:name w:val="Heading 2"/>
    <w:uiPriority w:val="9"/>
    <w:qFormat/>
    <w:pPr>
      <w:jc w:val="both"/>
      <w:spacing w:before="120" w:after="120" w:line="264" w:lineRule="auto"/>
      <w:widowControl/>
      <w:outlineLvl w:val="1"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705">
    <w:name w:val="Heading 3"/>
    <w:uiPriority w:val="9"/>
    <w:qFormat/>
    <w:pPr>
      <w:jc w:val="both"/>
      <w:spacing w:before="120" w:after="120" w:line="264" w:lineRule="auto"/>
      <w:widowControl/>
      <w:outlineLvl w:val="2"/>
    </w:pPr>
    <w:rPr>
      <w:rFonts w:ascii="XO Thames" w:hAnsi="XO Thames" w:eastAsia="Times New Roman" w:cs="Times New Roman"/>
      <w:b/>
      <w:color w:val="000000"/>
      <w:sz w:val="26"/>
      <w:szCs w:val="20"/>
      <w:lang w:val="ru-RU" w:eastAsia="ru-RU" w:bidi="ar-SA"/>
    </w:rPr>
  </w:style>
  <w:style w:type="paragraph" w:styleId="706">
    <w:name w:val="Heading 4"/>
    <w:uiPriority w:val="9"/>
    <w:qFormat/>
    <w:pPr>
      <w:jc w:val="both"/>
      <w:spacing w:before="120" w:after="120" w:line="264" w:lineRule="auto"/>
      <w:widowControl/>
      <w:outlineLvl w:val="3"/>
    </w:pPr>
    <w:rPr>
      <w:rFonts w:ascii="XO Thames" w:hAnsi="XO Thames" w:eastAsia="Times New Roman" w:cs="Times New Roman"/>
      <w:b/>
      <w:color w:val="000000"/>
      <w:sz w:val="24"/>
      <w:szCs w:val="20"/>
      <w:lang w:val="ru-RU" w:eastAsia="ru-RU" w:bidi="ar-SA"/>
    </w:rPr>
  </w:style>
  <w:style w:type="paragraph" w:styleId="707">
    <w:name w:val="Heading 5"/>
    <w:uiPriority w:val="9"/>
    <w:qFormat/>
    <w:pPr>
      <w:jc w:val="both"/>
      <w:spacing w:before="120" w:after="120" w:line="264" w:lineRule="auto"/>
      <w:widowControl/>
      <w:outlineLvl w:val="4"/>
    </w:pPr>
    <w:rPr>
      <w:rFonts w:ascii="XO Thames" w:hAnsi="XO Thames" w:eastAsia="Times New Roman" w:cs="Times New Roman"/>
      <w:b/>
      <w:color w:val="000000"/>
      <w:sz w:val="22"/>
      <w:szCs w:val="20"/>
      <w:lang w:val="ru-RU" w:eastAsia="ru-RU" w:bidi="ar-SA"/>
    </w:rPr>
  </w:style>
  <w:style w:type="paragraph" w:styleId="708">
    <w:name w:val="Heading 6"/>
    <w:basedOn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9">
    <w:name w:val="Heading 7"/>
    <w:basedOn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7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1 Char"/>
    <w:basedOn w:val="736"/>
    <w:uiPriority w:val="9"/>
    <w:qFormat/>
    <w:rPr>
      <w:rFonts w:ascii="Arial" w:hAnsi="Arial" w:eastAsia="Arial" w:cs="Arial"/>
      <w:sz w:val="40"/>
      <w:szCs w:val="40"/>
    </w:rPr>
  </w:style>
  <w:style w:type="character" w:styleId="713">
    <w:name w:val="Heading 2 Char"/>
    <w:basedOn w:val="736"/>
    <w:uiPriority w:val="9"/>
    <w:qFormat/>
    <w:rPr>
      <w:rFonts w:ascii="Arial" w:hAnsi="Arial" w:eastAsia="Arial" w:cs="Arial"/>
      <w:sz w:val="34"/>
    </w:rPr>
  </w:style>
  <w:style w:type="character" w:styleId="714">
    <w:name w:val="Heading 3 Char"/>
    <w:basedOn w:val="736"/>
    <w:uiPriority w:val="9"/>
    <w:qFormat/>
    <w:rPr>
      <w:rFonts w:ascii="Arial" w:hAnsi="Arial" w:eastAsia="Arial" w:cs="Arial"/>
      <w:sz w:val="30"/>
      <w:szCs w:val="30"/>
    </w:rPr>
  </w:style>
  <w:style w:type="character" w:styleId="715">
    <w:name w:val="Heading 4 Char"/>
    <w:basedOn w:val="73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6">
    <w:name w:val="Heading 5 Char"/>
    <w:basedOn w:val="73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7">
    <w:name w:val="Heading 6 Char"/>
    <w:basedOn w:val="73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8">
    <w:name w:val="Heading 7 Char"/>
    <w:basedOn w:val="73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9">
    <w:name w:val="Heading 8 Char"/>
    <w:basedOn w:val="73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0">
    <w:name w:val="Heading 9 Char"/>
    <w:basedOn w:val="73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21">
    <w:name w:val="Title Char"/>
    <w:basedOn w:val="736"/>
    <w:uiPriority w:val="10"/>
    <w:qFormat/>
    <w:rPr>
      <w:sz w:val="48"/>
      <w:szCs w:val="48"/>
    </w:rPr>
  </w:style>
  <w:style w:type="character" w:styleId="722">
    <w:name w:val="Subtitle Char"/>
    <w:basedOn w:val="736"/>
    <w:uiPriority w:val="11"/>
    <w:qFormat/>
    <w:rPr>
      <w:sz w:val="24"/>
      <w:szCs w:val="24"/>
    </w:rPr>
  </w:style>
  <w:style w:type="character" w:styleId="723">
    <w:name w:val="Quote Char"/>
    <w:uiPriority w:val="29"/>
    <w:qFormat/>
    <w:rPr>
      <w:i/>
    </w:rPr>
  </w:style>
  <w:style w:type="character" w:styleId="724">
    <w:name w:val="Intense Quote Char"/>
    <w:uiPriority w:val="30"/>
    <w:qFormat/>
    <w:rPr>
      <w:i/>
    </w:rPr>
  </w:style>
  <w:style w:type="character" w:styleId="725">
    <w:name w:val="Header Char"/>
    <w:basedOn w:val="736"/>
    <w:uiPriority w:val="99"/>
    <w:qFormat/>
  </w:style>
  <w:style w:type="character" w:styleId="726">
    <w:name w:val="Footer Char"/>
    <w:basedOn w:val="736"/>
    <w:uiPriority w:val="99"/>
    <w:qFormat/>
  </w:style>
  <w:style w:type="character" w:styleId="727">
    <w:name w:val="Caption Char"/>
    <w:uiPriority w:val="99"/>
    <w:qFormat/>
  </w:style>
  <w:style w:type="character" w:styleId="728">
    <w:name w:val="Footnote Text Char"/>
    <w:uiPriority w:val="99"/>
    <w:qFormat/>
    <w:rPr>
      <w:sz w:val="18"/>
    </w:rPr>
  </w:style>
  <w:style w:type="character" w:styleId="729">
    <w:name w:val="Символ сноски (user)"/>
    <w:uiPriority w:val="99"/>
    <w:unhideWhenUsed/>
    <w:qFormat/>
    <w:rPr>
      <w:vertAlign w:val="superscript"/>
    </w:rPr>
  </w:style>
  <w:style w:type="character" w:styleId="730">
    <w:name w:val="Символ сноски"/>
    <w:qFormat/>
    <w:rPr>
      <w:vertAlign w:val="superscript"/>
    </w:rPr>
  </w:style>
  <w:style w:type="character" w:styleId="731">
    <w:name w:val="footnote reference"/>
    <w:rPr>
      <w:vertAlign w:val="superscript"/>
    </w:rPr>
  </w:style>
  <w:style w:type="character" w:styleId="732">
    <w:name w:val="Endnote Text Char"/>
    <w:uiPriority w:val="99"/>
    <w:qFormat/>
    <w:rPr>
      <w:sz w:val="20"/>
    </w:rPr>
  </w:style>
  <w:style w:type="character" w:styleId="733">
    <w:name w:val="Символ концевой сноски (user)"/>
    <w:uiPriority w:val="99"/>
    <w:semiHidden/>
    <w:unhideWhenUsed/>
    <w:qFormat/>
    <w:rPr>
      <w:vertAlign w:val="superscript"/>
    </w:rPr>
  </w:style>
  <w:style w:type="character" w:styleId="734">
    <w:name w:val="Символ концевой сноски"/>
    <w:qFormat/>
    <w:rPr>
      <w:vertAlign w:val="superscript"/>
    </w:rPr>
  </w:style>
  <w:style w:type="character" w:styleId="735">
    <w:name w:val="endnote reference"/>
    <w:rPr>
      <w:vertAlign w:val="superscript"/>
    </w:rPr>
  </w:style>
  <w:style w:type="character" w:styleId="736" w:default="1">
    <w:name w:val="Default Paragraph Font"/>
    <w:uiPriority w:val="1"/>
    <w:semiHidden/>
    <w:unhideWhenUsed/>
    <w:qFormat/>
  </w:style>
  <w:style w:type="character" w:styleId="737" w:customStyle="1">
    <w:name w:val="Обычный1"/>
    <w:qFormat/>
  </w:style>
  <w:style w:type="character" w:styleId="738" w:customStyle="1">
    <w:name w:val="Оглавление 2 Знак"/>
    <w:qFormat/>
    <w:rPr>
      <w:rFonts w:ascii="XO Thames" w:hAnsi="XO Thames"/>
      <w:sz w:val="28"/>
    </w:rPr>
  </w:style>
  <w:style w:type="character" w:styleId="739" w:customStyle="1">
    <w:name w:val="Оглавление 4 Знак"/>
    <w:qFormat/>
    <w:rPr>
      <w:rFonts w:ascii="XO Thames" w:hAnsi="XO Thames"/>
      <w:sz w:val="28"/>
    </w:rPr>
  </w:style>
  <w:style w:type="character" w:styleId="740" w:customStyle="1">
    <w:name w:val="Верхний колонтитул Знак"/>
    <w:basedOn w:val="737"/>
    <w:uiPriority w:val="99"/>
    <w:qFormat/>
  </w:style>
  <w:style w:type="character" w:styleId="741" w:customStyle="1">
    <w:name w:val="Оглавление 6 Знак"/>
    <w:qFormat/>
    <w:rPr>
      <w:rFonts w:ascii="XO Thames" w:hAnsi="XO Thames"/>
      <w:sz w:val="28"/>
    </w:rPr>
  </w:style>
  <w:style w:type="character" w:styleId="742" w:customStyle="1">
    <w:name w:val="Оглавление 7 Знак"/>
    <w:qFormat/>
    <w:rPr>
      <w:rFonts w:ascii="XO Thames" w:hAnsi="XO Thames"/>
      <w:sz w:val="28"/>
    </w:rPr>
  </w:style>
  <w:style w:type="character" w:styleId="743" w:customStyle="1">
    <w:name w:val="Заголовок 3 Знак"/>
    <w:qFormat/>
    <w:rPr>
      <w:rFonts w:ascii="XO Thames" w:hAnsi="XO Thames"/>
      <w:b/>
      <w:sz w:val="26"/>
    </w:rPr>
  </w:style>
  <w:style w:type="character" w:styleId="744" w:customStyle="1">
    <w:name w:val="Текст Знак"/>
    <w:basedOn w:val="737"/>
    <w:qFormat/>
    <w:rPr>
      <w:rFonts w:ascii="Calibri" w:hAnsi="Calibri"/>
    </w:rPr>
  </w:style>
  <w:style w:type="character" w:styleId="745" w:customStyle="1">
    <w:name w:val="Оглавление 3 Знак"/>
    <w:qFormat/>
    <w:rPr>
      <w:rFonts w:ascii="XO Thames" w:hAnsi="XO Thames"/>
      <w:sz w:val="28"/>
    </w:rPr>
  </w:style>
  <w:style w:type="character" w:styleId="746" w:customStyle="1">
    <w:name w:val="Заголовок 5 Знак"/>
    <w:qFormat/>
    <w:rPr>
      <w:rFonts w:ascii="XO Thames" w:hAnsi="XO Thames"/>
      <w:b/>
      <w:sz w:val="22"/>
    </w:rPr>
  </w:style>
  <w:style w:type="character" w:styleId="747" w:customStyle="1">
    <w:name w:val="Заголовок 1 Знак"/>
    <w:qFormat/>
    <w:rPr>
      <w:rFonts w:ascii="XO Thames" w:hAnsi="XO Thames"/>
      <w:b/>
      <w:sz w:val="32"/>
    </w:rPr>
  </w:style>
  <w:style w:type="character" w:styleId="748">
    <w:name w:val="Internet Link"/>
    <w:basedOn w:val="736"/>
    <w:qFormat/>
    <w:rPr>
      <w:color w:val="0563c1" w:themeColor="hyperlink"/>
      <w:u w:val="single"/>
    </w:rPr>
  </w:style>
  <w:style w:type="character" w:styleId="749" w:customStyle="1">
    <w:name w:val="Footnote"/>
    <w:qFormat/>
    <w:rPr>
      <w:rFonts w:ascii="XO Thames" w:hAnsi="XO Thames"/>
      <w:sz w:val="22"/>
    </w:rPr>
  </w:style>
  <w:style w:type="character" w:styleId="750" w:customStyle="1">
    <w:name w:val="Оглавление 1 Знак"/>
    <w:qFormat/>
    <w:rPr>
      <w:rFonts w:ascii="XO Thames" w:hAnsi="XO Thames"/>
      <w:b/>
      <w:sz w:val="28"/>
    </w:rPr>
  </w:style>
  <w:style w:type="character" w:styleId="751" w:customStyle="1">
    <w:name w:val="Header and Footer"/>
    <w:qFormat/>
    <w:rPr>
      <w:rFonts w:ascii="XO Thames" w:hAnsi="XO Thames"/>
      <w:sz w:val="20"/>
    </w:rPr>
  </w:style>
  <w:style w:type="character" w:styleId="752" w:customStyle="1">
    <w:name w:val="Оглавление 9 Знак"/>
    <w:qFormat/>
    <w:rPr>
      <w:rFonts w:ascii="XO Thames" w:hAnsi="XO Thames"/>
      <w:sz w:val="28"/>
    </w:rPr>
  </w:style>
  <w:style w:type="character" w:styleId="753" w:customStyle="1">
    <w:name w:val="Оглавление 8 Знак"/>
    <w:qFormat/>
    <w:rPr>
      <w:rFonts w:ascii="XO Thames" w:hAnsi="XO Thames"/>
      <w:sz w:val="28"/>
    </w:rPr>
  </w:style>
  <w:style w:type="character" w:styleId="754" w:customStyle="1">
    <w:name w:val="Оглавление 5 Знак"/>
    <w:qFormat/>
    <w:rPr>
      <w:rFonts w:ascii="XO Thames" w:hAnsi="XO Thames"/>
      <w:sz w:val="28"/>
    </w:rPr>
  </w:style>
  <w:style w:type="character" w:styleId="755" w:customStyle="1">
    <w:name w:val="Подзаголовок Знак"/>
    <w:qFormat/>
    <w:rPr>
      <w:rFonts w:ascii="XO Thames" w:hAnsi="XO Thames"/>
      <w:i/>
      <w:sz w:val="24"/>
    </w:rPr>
  </w:style>
  <w:style w:type="character" w:styleId="756" w:customStyle="1">
    <w:name w:val="Нижний колонтитул Знак"/>
    <w:basedOn w:val="737"/>
    <w:qFormat/>
    <w:rPr>
      <w:rFonts w:ascii="Times New Roman" w:hAnsi="Times New Roman"/>
      <w:sz w:val="28"/>
    </w:rPr>
  </w:style>
  <w:style w:type="character" w:styleId="757" w:customStyle="1">
    <w:name w:val="Название Знак"/>
    <w:qFormat/>
    <w:rPr>
      <w:rFonts w:ascii="XO Thames" w:hAnsi="XO Thames"/>
      <w:b/>
      <w:caps/>
      <w:sz w:val="40"/>
    </w:rPr>
  </w:style>
  <w:style w:type="character" w:styleId="758" w:customStyle="1">
    <w:name w:val="Текст выноски Знак"/>
    <w:basedOn w:val="737"/>
    <w:qFormat/>
    <w:rPr>
      <w:rFonts w:ascii="Segoe UI" w:hAnsi="Segoe UI"/>
      <w:sz w:val="18"/>
    </w:rPr>
  </w:style>
  <w:style w:type="character" w:styleId="759" w:customStyle="1">
    <w:name w:val="Заголовок 4 Знак"/>
    <w:qFormat/>
    <w:rPr>
      <w:rFonts w:ascii="XO Thames" w:hAnsi="XO Thames"/>
      <w:b/>
      <w:sz w:val="24"/>
    </w:rPr>
  </w:style>
  <w:style w:type="character" w:styleId="760" w:customStyle="1">
    <w:name w:val="Заголовок 2 Знак"/>
    <w:qFormat/>
    <w:rPr>
      <w:rFonts w:ascii="XO Thames" w:hAnsi="XO Thames"/>
      <w:b/>
      <w:sz w:val="28"/>
    </w:rPr>
  </w:style>
  <w:style w:type="character" w:styleId="761">
    <w:name w:val="Символ нумерации (user)"/>
    <w:qFormat/>
  </w:style>
  <w:style w:type="character" w:styleId="762">
    <w:name w:val="Hyperlink"/>
    <w:rPr>
      <w:color w:val="000080"/>
      <w:u w:val="single"/>
    </w:rPr>
  </w:style>
  <w:style w:type="paragraph" w:styleId="763">
    <w:name w:val="Заголовок"/>
    <w:basedOn w:val="702"/>
    <w:next w:val="764"/>
    <w:qFormat/>
    <w:pPr>
      <w:keepNext/>
      <w:spacing w:before="240" w:after="120"/>
    </w:pPr>
    <w:rPr>
      <w:rFonts w:ascii="Open Sans" w:hAnsi="Open Sans" w:eastAsia="Tahoma" w:cs="Droid Sans"/>
      <w:sz w:val="28"/>
      <w:szCs w:val="28"/>
    </w:rPr>
  </w:style>
  <w:style w:type="paragraph" w:styleId="764">
    <w:name w:val="Body Text"/>
    <w:basedOn w:val="702"/>
    <w:pPr>
      <w:spacing w:before="0" w:after="140" w:line="276" w:lineRule="auto"/>
    </w:pPr>
  </w:style>
  <w:style w:type="paragraph" w:styleId="765">
    <w:name w:val="List"/>
    <w:basedOn w:val="764"/>
    <w:rPr>
      <w:rFonts w:cs="Droid Sans"/>
    </w:rPr>
  </w:style>
  <w:style w:type="paragraph" w:styleId="766">
    <w:name w:val="Caption"/>
    <w:basedOn w:val="702"/>
    <w:link w:val="727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767">
    <w:name w:val="Указатель"/>
    <w:basedOn w:val="702"/>
    <w:qFormat/>
    <w:pPr>
      <w:suppressLineNumbers/>
    </w:pPr>
    <w:rPr>
      <w:rFonts w:cs="Droid Sans"/>
    </w:rPr>
  </w:style>
  <w:style w:type="paragraph" w:styleId="768">
    <w:name w:val="Заголовок (user)"/>
    <w:basedOn w:val="702"/>
    <w:next w:val="764"/>
    <w:qFormat/>
    <w:pPr>
      <w:keepNext/>
      <w:spacing w:before="240" w:after="120"/>
    </w:pPr>
    <w:rPr>
      <w:rFonts w:ascii="Open Sans" w:hAnsi="Open Sans" w:eastAsia="Tahoma" w:cs="Droid Sans"/>
      <w:sz w:val="28"/>
      <w:szCs w:val="28"/>
    </w:rPr>
  </w:style>
  <w:style w:type="paragraph" w:styleId="769">
    <w:name w:val="Указатель (user)"/>
    <w:basedOn w:val="702"/>
    <w:qFormat/>
    <w:pPr>
      <w:suppressLineNumbers/>
    </w:pPr>
    <w:rPr>
      <w:rFonts w:cs="Droid Sans"/>
    </w:rPr>
  </w:style>
  <w:style w:type="paragraph" w:styleId="770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71">
    <w:name w:val="Quote"/>
    <w:basedOn w:val="702"/>
    <w:uiPriority w:val="29"/>
    <w:qFormat/>
    <w:pPr>
      <w:ind w:left="720" w:right="720"/>
    </w:pPr>
    <w:rPr>
      <w:i/>
    </w:rPr>
  </w:style>
  <w:style w:type="paragraph" w:styleId="772">
    <w:name w:val="Intense Quote"/>
    <w:basedOn w:val="702"/>
    <w:uiPriority w:val="30"/>
    <w:qFormat/>
    <w:pPr>
      <w:ind w:left="720" w:right="72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73">
    <w:name w:val="footnote text"/>
    <w:basedOn w:val="70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74">
    <w:name w:val="endnote text"/>
    <w:basedOn w:val="70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75">
    <w:name w:val="index heading"/>
    <w:basedOn w:val="768"/>
  </w:style>
  <w:style w:type="paragraph" w:styleId="776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77">
    <w:name w:val="table of figures"/>
    <w:basedOn w:val="702"/>
    <w:uiPriority w:val="99"/>
    <w:unhideWhenUsed/>
    <w:pPr>
      <w:spacing w:before="0" w:after="0" w:afterAutospacing="0"/>
    </w:pPr>
  </w:style>
  <w:style w:type="paragraph" w:styleId="778">
    <w:name w:val="caption1"/>
    <w:basedOn w:val="702"/>
    <w:qFormat/>
    <w:pPr>
      <w:spacing w:before="120" w:after="120"/>
      <w:suppressLineNumbers/>
    </w:pPr>
    <w:rPr>
      <w:rFonts w:cs="Droid Sans"/>
      <w:i/>
      <w:iCs/>
      <w:sz w:val="24"/>
      <w:szCs w:val="24"/>
    </w:rPr>
  </w:style>
  <w:style w:type="paragraph" w:styleId="779">
    <w:name w:val="toc 2"/>
    <w:uiPriority w:val="39"/>
    <w:pPr>
      <w:ind w:left="2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80">
    <w:name w:val="toc 4"/>
    <w:uiPriority w:val="39"/>
    <w:pPr>
      <w:ind w:left="6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81" w:customStyle="1">
    <w:name w:val="Header and Footer1"/>
    <w:qFormat/>
    <w:pPr>
      <w:jc w:val="both"/>
      <w:spacing w:before="0" w:after="160" w:line="240" w:lineRule="auto"/>
      <w:widowControl/>
    </w:pPr>
    <w:rPr>
      <w:rFonts w:ascii="XO Thames" w:hAnsi="XO Thames" w:eastAsia="Times New Roman" w:cs="Times New Roman"/>
      <w:color w:val="000000"/>
      <w:sz w:val="20"/>
      <w:szCs w:val="20"/>
      <w:lang w:val="ru-RU" w:eastAsia="ru-RU" w:bidi="ar-SA"/>
    </w:rPr>
  </w:style>
  <w:style w:type="paragraph" w:styleId="782">
    <w:name w:val="Header and Footer2"/>
    <w:basedOn w:val="702"/>
    <w:qFormat/>
  </w:style>
  <w:style w:type="paragraph" w:styleId="783">
    <w:name w:val="Header and Footer3"/>
    <w:basedOn w:val="702"/>
    <w:qFormat/>
  </w:style>
  <w:style w:type="paragraph" w:styleId="784">
    <w:name w:val="Header and Footer4"/>
    <w:basedOn w:val="702"/>
    <w:qFormat/>
  </w:style>
  <w:style w:type="paragraph" w:styleId="785">
    <w:name w:val="Колонтитул"/>
    <w:basedOn w:val="702"/>
    <w:qFormat/>
  </w:style>
  <w:style w:type="paragraph" w:styleId="786">
    <w:name w:val="Колонтитулы"/>
    <w:basedOn w:val="702"/>
    <w:qFormat/>
  </w:style>
  <w:style w:type="paragraph" w:styleId="787">
    <w:name w:val="Header"/>
    <w:basedOn w:val="702"/>
    <w:uiPriority w:val="99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88">
    <w:name w:val="toc 6"/>
    <w:uiPriority w:val="39"/>
    <w:pPr>
      <w:ind w:left="10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89">
    <w:name w:val="toc 7"/>
    <w:uiPriority w:val="39"/>
    <w:pPr>
      <w:ind w:left="12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0">
    <w:name w:val="Plain Text"/>
    <w:basedOn w:val="702"/>
    <w:qFormat/>
    <w:pPr>
      <w:spacing w:before="0" w:after="0" w:line="240" w:lineRule="auto"/>
    </w:pPr>
    <w:rPr>
      <w:rFonts w:ascii="Calibri" w:hAnsi="Calibri"/>
    </w:rPr>
  </w:style>
  <w:style w:type="paragraph" w:styleId="791">
    <w:name w:val="toc 3"/>
    <w:uiPriority w:val="39"/>
    <w:pPr>
      <w:ind w:left="4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2" w:customStyle="1">
    <w:name w:val="Гиперссылка1"/>
    <w:qFormat/>
    <w:pPr>
      <w:jc w:val="left"/>
      <w:spacing w:before="0" w:after="0"/>
      <w:widowControl/>
    </w:pPr>
    <w:rPr>
      <w:rFonts w:ascii="Calibri" w:hAnsi="Calibri" w:eastAsia="Times New Roman" w:cs="Times New Roman"/>
      <w:color w:val="0563c1" w:themeColor="hyperlink"/>
      <w:sz w:val="22"/>
      <w:szCs w:val="20"/>
      <w:u w:val="single"/>
      <w:lang w:val="ru-RU" w:eastAsia="ru-RU" w:bidi="ar-SA"/>
    </w:rPr>
  </w:style>
  <w:style w:type="paragraph" w:styleId="793" w:customStyle="1">
    <w:name w:val="Footnote1"/>
    <w:qFormat/>
    <w:pPr>
      <w:ind w:firstLine="851"/>
      <w:jc w:val="both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2"/>
      <w:szCs w:val="20"/>
      <w:lang w:val="ru-RU" w:eastAsia="ru-RU" w:bidi="ar-SA"/>
    </w:rPr>
  </w:style>
  <w:style w:type="paragraph" w:styleId="794">
    <w:name w:val="toc 1"/>
    <w:uiPriority w:val="39"/>
    <w:pPr>
      <w:jc w:val="left"/>
      <w:spacing w:before="0" w:after="160" w:line="264" w:lineRule="auto"/>
      <w:widowControl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795" w:customStyle="1">
    <w:name w:val="Основной шрифт абзаца1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96">
    <w:name w:val="toc 9"/>
    <w:uiPriority w:val="39"/>
    <w:pPr>
      <w:ind w:left="16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7">
    <w:name w:val="toc 8"/>
    <w:uiPriority w:val="39"/>
    <w:pPr>
      <w:ind w:left="14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8">
    <w:name w:val="toc 5"/>
    <w:uiPriority w:val="39"/>
    <w:pPr>
      <w:ind w:left="8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9">
    <w:name w:val="Subtitle"/>
    <w:uiPriority w:val="11"/>
    <w:qFormat/>
    <w:pPr>
      <w:jc w:val="both"/>
      <w:spacing w:before="0" w:after="160" w:line="264" w:lineRule="auto"/>
      <w:widowControl/>
    </w:pPr>
    <w:rPr>
      <w:rFonts w:ascii="XO Thames" w:hAnsi="XO Thames" w:eastAsia="Times New Roman" w:cs="Times New Roman"/>
      <w:i/>
      <w:color w:val="000000"/>
      <w:sz w:val="24"/>
      <w:szCs w:val="20"/>
      <w:lang w:val="ru-RU" w:eastAsia="ru-RU" w:bidi="ar-SA"/>
    </w:rPr>
  </w:style>
  <w:style w:type="paragraph" w:styleId="800">
    <w:name w:val="Footer"/>
    <w:basedOn w:val="702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  <w:rPr>
      <w:rFonts w:ascii="Times New Roman" w:hAnsi="Times New Roman"/>
      <w:sz w:val="28"/>
    </w:rPr>
  </w:style>
  <w:style w:type="paragraph" w:styleId="801">
    <w:name w:val="Title"/>
    <w:uiPriority w:val="10"/>
    <w:qFormat/>
    <w:pPr>
      <w:jc w:val="center"/>
      <w:spacing w:before="567" w:after="567" w:line="264" w:lineRule="auto"/>
      <w:widowControl/>
    </w:pPr>
    <w:rPr>
      <w:rFonts w:ascii="XO Thames" w:hAnsi="XO Thames" w:eastAsia="Times New Roman" w:cs="Times New Roman"/>
      <w:b/>
      <w:caps/>
      <w:color w:val="000000"/>
      <w:sz w:val="40"/>
      <w:szCs w:val="20"/>
      <w:lang w:val="ru-RU" w:eastAsia="ru-RU" w:bidi="ar-SA"/>
    </w:rPr>
  </w:style>
  <w:style w:type="paragraph" w:styleId="802">
    <w:name w:val="Balloon Text"/>
    <w:basedOn w:val="702"/>
    <w:qFormat/>
    <w:pPr>
      <w:spacing w:before="0" w:after="0" w:line="240" w:lineRule="auto"/>
    </w:pPr>
    <w:rPr>
      <w:rFonts w:ascii="Segoe UI" w:hAnsi="Segoe UI"/>
      <w:sz w:val="18"/>
    </w:rPr>
  </w:style>
  <w:style w:type="paragraph" w:styleId="803">
    <w:name w:val="List Paragraph"/>
    <w:basedOn w:val="702"/>
    <w:qFormat/>
    <w:pPr>
      <w:contextualSpacing/>
      <w:ind w:left="720"/>
      <w:spacing w:before="0" w:after="160"/>
    </w:pPr>
  </w:style>
  <w:style w:type="paragraph" w:styleId="804" w:customStyle="1">
    <w:name w:val="ConsPlusNormal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auto"/>
      <w:widowControl w:val="off"/>
    </w:pPr>
    <w:rPr>
      <w:rFonts w:ascii="Times New Roman" w:hAnsi="Times New Roman" w:eastAsia="Tahoma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u w:val="none"/>
      <w:vertAlign w:val="baseline"/>
      <w:lang w:val="ru-RU" w:eastAsia="ru-RU" w:bidi="ar-SA"/>
      <w14:ligatures w14:val="none"/>
    </w:rPr>
  </w:style>
  <w:style w:type="numbering" w:styleId="805">
    <w:name w:val="Без списка"/>
    <w:uiPriority w:val="99"/>
    <w:semiHidden/>
    <w:unhideWhenUsed/>
    <w:qFormat/>
  </w:style>
  <w:style w:type="numbering" w:styleId="806" w:default="1">
    <w:name w:val="Без списка (user)"/>
    <w:uiPriority w:val="99"/>
    <w:semiHidden/>
    <w:unhideWhenUsed/>
    <w:qFormat/>
  </w:style>
  <w:style w:type="table" w:styleId="807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9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0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1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12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13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4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1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debf6" w:themeFill="accent1" w:themeFillTint="34"/>
      </w:tcPr>
    </w:tblStylePr>
    <w:tblStylePr w:type="band1Vert">
      <w:rPr>
        <w:sz w:val="22"/>
      </w:rPr>
      <w:tcPr>
        <w:shd w:val="clear" w:color="ffffff" w:fill="ddeb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debf6" w:themeFill="accent1" w:themeFillTint="34"/>
      </w:tcPr>
    </w:tblStylePr>
    <w:tblStylePr w:type="band1Vert">
      <w:rPr>
        <w:sz w:val="22"/>
      </w:rPr>
      <w:tcPr>
        <w:shd w:val="clear" w:color="ffffff" w:fill="ddeb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36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febf6" w:themeFill="accent1" w:themeFillTint="32"/>
      </w:tcPr>
    </w:tblStylePr>
    <w:tblStylePr w:type="band1Vert">
      <w:rPr>
        <w:sz w:val="22"/>
      </w:rPr>
      <w:tcPr>
        <w:shd w:val="clear" w:color="ffffff" w:fill="df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837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838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839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840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841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842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8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sz w:val="22"/>
      </w:rPr>
      <w:tcPr>
        <w:shd w:val="clear" w:color="ffffff" w:fill="5b9bd5" w:themeFill="accent1"/>
      </w:tc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  <w:sz w:val="22"/>
      </w:rPr>
      <w:tcPr>
        <w:shd w:val="clear" w:color="ffffff" w:fill="5b9bd5" w:themeFill="accent1"/>
      </w:tcPr>
    </w:tblStylePr>
    <w:tblStylePr w:type="lastRow">
      <w:rPr>
        <w:b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8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sz w:val="22"/>
      </w:rPr>
      <w:tcPr>
        <w:shd w:val="clear" w:color="ffffff" w:fill="4472c4" w:themeFill="accent5"/>
      </w:tcPr>
    </w:tblStylePr>
    <w:tblStylePr w:type="firstRow">
      <w:rPr>
        <w:b/>
        <w:sz w:val="22"/>
      </w:rPr>
      <w:tcPr>
        <w:shd w:val="clear" w:color="ffffff" w:fill="4472c4" w:themeFill="accent5"/>
      </w:tcPr>
    </w:tblStylePr>
    <w:tblStylePr w:type="lastCol">
      <w:rPr>
        <w:b/>
        <w:sz w:val="22"/>
      </w:rPr>
      <w:tcPr>
        <w:shd w:val="clear" w:color="ffffff" w:fill="4472c4" w:themeFill="accent5"/>
      </w:tcPr>
    </w:tblStylePr>
    <w:tblStylePr w:type="lastRow">
      <w:rPr>
        <w:b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849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56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71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5e6f4" w:themeFill="accent1" w:themeFillTint="40"/>
      </w:tcPr>
    </w:tblStylePr>
    <w:tblStylePr w:type="band1Vert">
      <w:rPr>
        <w:sz w:val="22"/>
      </w:rPr>
      <w:tcPr>
        <w:shd w:val="clear" w:color="ffffff" w:fill="d5e6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72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73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74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75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cfdcf0" w:themeFill="accent5" w:themeFillTint="40"/>
      </w:tcPr>
    </w:tblStylePr>
    <w:tblStylePr w:type="band1Vert">
      <w:rPr>
        <w:sz w:val="22"/>
      </w:rPr>
      <w:tcPr>
        <w:shd w:val="clear" w:color="ffffff" w:fill="cfdc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76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77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8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9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0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1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2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eab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3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ad08f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4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5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5e6f4" w:themeFill="accent1" w:themeFillTint="40"/>
      </w:tcPr>
    </w:tblStylePr>
    <w:tblStylePr w:type="band1Vert">
      <w:rPr>
        <w:sz w:val="22"/>
      </w:rPr>
      <w:tcPr>
        <w:shd w:val="clear" w:color="ffffff" w:fill="d5e6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6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7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8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9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cfdcf0" w:themeFill="accent5" w:themeFillTint="40"/>
      </w:tcPr>
    </w:tblStylePr>
    <w:tblStylePr w:type="band1Vert">
      <w:rPr>
        <w:sz w:val="22"/>
      </w:rPr>
      <w:tcPr>
        <w:shd w:val="clear" w:color="ffffff" w:fill="cfdc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0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1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98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9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9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9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9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905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9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9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9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9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9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9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912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13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ce0f1" w:themeFill="accent1" w:themeFillTint="50"/>
      </w:tcPr>
    </w:tblStylePr>
    <w:tblStylePr w:type="band2Vert">
      <w:rPr>
        <w:sz w:val="22"/>
      </w:rPr>
      <w:tcPr>
        <w:shd w:val="clear" w:color="ffffff" w:fill="cce0f1" w:themeFill="accent1" w:themeFillTint="50"/>
      </w:tcPr>
    </w:tblStylePr>
    <w:tblStylePr w:type="firstCol">
      <w:rPr>
        <w:sz w:val="22"/>
      </w:rPr>
      <w:tcPr>
        <w:shd w:val="clear" w:color="ffffff" w:fill="67a4d8" w:themeFill="accent1" w:themeFillTint="EA"/>
      </w:tcPr>
    </w:tblStylePr>
    <w:tblStylePr w:type="firstRow">
      <w:rPr>
        <w:sz w:val="22"/>
      </w:rPr>
      <w:tcPr>
        <w:shd w:val="clear" w:color="ffffff" w:fill="67a4d8" w:themeFill="accent1" w:themeFillTint="EA"/>
      </w:tcPr>
    </w:tblStylePr>
    <w:tblStylePr w:type="lastCol">
      <w:rPr>
        <w:sz w:val="22"/>
      </w:rPr>
      <w:tcPr>
        <w:shd w:val="clear" w:color="ffffff" w:fill="67a4d8" w:themeFill="accent1" w:themeFillTint="EA"/>
      </w:tcPr>
    </w:tblStylePr>
    <w:tblStylePr w:type="lastRow">
      <w:rPr>
        <w:sz w:val="22"/>
      </w:rPr>
      <w:tcPr>
        <w:shd w:val="clear" w:color="ffffff" w:fill="67a4d8" w:themeFill="accent1" w:themeFillTint="EA"/>
      </w:tcPr>
    </w:tblStylePr>
  </w:style>
  <w:style w:type="table" w:styleId="914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915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916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917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9e2f2" w:themeFill="accent5" w:themeFillTint="34"/>
      </w:tcPr>
    </w:tblStylePr>
    <w:tblStylePr w:type="band2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sz w:val="22"/>
      </w:rPr>
      <w:tcPr>
        <w:shd w:val="clear" w:color="ffffff" w:fill="4472c4" w:themeFill="accent5"/>
      </w:tcPr>
    </w:tblStylePr>
    <w:tblStylePr w:type="firstRow">
      <w:rPr>
        <w:sz w:val="22"/>
      </w:rPr>
      <w:tcPr>
        <w:shd w:val="clear" w:color="ffffff" w:fill="4472c4" w:themeFill="accent5"/>
      </w:tcPr>
    </w:tblStylePr>
    <w:tblStylePr w:type="lastCol">
      <w:rPr>
        <w:sz w:val="22"/>
      </w:rPr>
      <w:tcPr>
        <w:shd w:val="clear" w:color="ffffff" w:fill="4472c4" w:themeFill="accent5"/>
      </w:tcPr>
    </w:tblStylePr>
    <w:tblStylePr w:type="lastRow">
      <w:rPr>
        <w:sz w:val="22"/>
      </w:rPr>
      <w:tcPr>
        <w:shd w:val="clear" w:color="ffffff" w:fill="4472c4" w:themeFill="accent5"/>
      </w:tcPr>
    </w:tblStylePr>
  </w:style>
  <w:style w:type="table" w:styleId="918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919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20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ce0f1" w:themeFill="accent1" w:themeFillTint="50"/>
      </w:tcPr>
    </w:tblStylePr>
    <w:tblStylePr w:type="band2Vert">
      <w:rPr>
        <w:sz w:val="22"/>
      </w:rPr>
      <w:tcPr>
        <w:shd w:val="clear" w:color="ffffff" w:fill="cce0f1" w:themeFill="accent1" w:themeFillTint="50"/>
      </w:tcPr>
    </w:tblStylePr>
    <w:tblStylePr w:type="firstCol">
      <w:rPr>
        <w:sz w:val="22"/>
      </w:rPr>
      <w:tcPr>
        <w:shd w:val="clear" w:color="ffffff" w:fill="67a4d8" w:themeFill="accent1" w:themeFillTint="EA"/>
      </w:tcPr>
    </w:tblStylePr>
    <w:tblStylePr w:type="firstRow">
      <w:rPr>
        <w:sz w:val="22"/>
      </w:rPr>
      <w:tcPr>
        <w:shd w:val="clear" w:color="ffffff" w:fill="67a4d8" w:themeFill="accent1" w:themeFillTint="EA"/>
      </w:tcPr>
    </w:tblStylePr>
    <w:tblStylePr w:type="lastCol">
      <w:rPr>
        <w:sz w:val="22"/>
      </w:rPr>
      <w:tcPr>
        <w:shd w:val="clear" w:color="ffffff" w:fill="67a4d8" w:themeFill="accent1" w:themeFillTint="EA"/>
      </w:tcPr>
    </w:tblStylePr>
    <w:tblStylePr w:type="lastRow">
      <w:rPr>
        <w:sz w:val="22"/>
      </w:rPr>
      <w:tcPr>
        <w:shd w:val="clear" w:color="ffffff" w:fill="67a4d8" w:themeFill="accent1" w:themeFillTint="EA"/>
      </w:tcPr>
    </w:tblStylePr>
  </w:style>
  <w:style w:type="table" w:styleId="921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922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923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924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9e2f2" w:themeFill="accent5" w:themeFillTint="34"/>
      </w:tcPr>
    </w:tblStylePr>
    <w:tblStylePr w:type="band2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sz w:val="22"/>
      </w:rPr>
      <w:tcPr>
        <w:shd w:val="clear" w:color="ffffff" w:fill="4472c4" w:themeFill="accent5"/>
      </w:tcPr>
    </w:tblStylePr>
    <w:tblStylePr w:type="firstRow">
      <w:rPr>
        <w:sz w:val="22"/>
      </w:rPr>
      <w:tcPr>
        <w:shd w:val="clear" w:color="ffffff" w:fill="4472c4" w:themeFill="accent5"/>
      </w:tcPr>
    </w:tblStylePr>
    <w:tblStylePr w:type="lastCol">
      <w:rPr>
        <w:sz w:val="22"/>
      </w:rPr>
      <w:tcPr>
        <w:shd w:val="clear" w:color="ffffff" w:fill="4472c4" w:themeFill="accent5"/>
      </w:tcPr>
    </w:tblStylePr>
    <w:tblStylePr w:type="lastRow">
      <w:rPr>
        <w:sz w:val="22"/>
      </w:rPr>
      <w:tcPr>
        <w:shd w:val="clear" w:color="ffffff" w:fill="4472c4" w:themeFill="accent5"/>
      </w:tcPr>
    </w:tblStylePr>
  </w:style>
  <w:style w:type="table" w:styleId="925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926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27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8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929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930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931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932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93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jpg"/><Relationship Id="rId15" Type="http://schemas.openxmlformats.org/officeDocument/2006/relationships/hyperlink" Target="./%7B&#1050;&#1086;&#1085;&#1089;&#1091;&#1083;&#1100;&#1090;&#1072;&#1085;&#1090;&#1055;&#1083;&#1102;&#1089;%7D" TargetMode="External"/><Relationship Id="rId16" Type="http://schemas.openxmlformats.org/officeDocument/2006/relationships/image" Target="media/image2.png"/><Relationship Id="rId17" Type="http://schemas.openxmlformats.org/officeDocument/2006/relationships/hyperlink" Target="./&#1089;&#1088;&#1086;&#1082;&#1072;..." TargetMode="External"/><Relationship Id="rId18" Type="http://schemas.openxmlformats.org/officeDocument/2006/relationships/hyperlink" Target="./&#1089;&#1088;&#1086;&#1082;&#1072;..." TargetMode="External"/><Relationship Id="rId19" Type="http://schemas.openxmlformats.org/officeDocument/2006/relationships/hyperlink" Target="./%7B&#1050;&#1086;&#1085;&#1089;&#1091;&#1083;&#1100;&#1090;&#1072;&#1085;&#1090;&#1055;&#1083;&#1102;&#1089;%7D" TargetMode="External"/><Relationship Id="rId20" Type="http://schemas.openxmlformats.org/officeDocument/2006/relationships/hyperlink" Target="./%7B&#1050;&#1086;&#1085;&#1089;&#1091;&#1083;&#1100;&#1090;&#1072;&#1085;&#1090;&#1055;&#1083;&#1102;&#1089;%7D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>HP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Дмитрий Игоревич</dc:creator>
  <dc:description/>
  <dc:language>ru-RU</dc:language>
  <cp:revision>36</cp:revision>
  <dcterms:created xsi:type="dcterms:W3CDTF">2025-01-31T01:52:00Z</dcterms:created>
  <dcterms:modified xsi:type="dcterms:W3CDTF">2026-09-09T23:22:03Z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